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886EED" w14:textId="77777777" w:rsidR="00A9619C" w:rsidRPr="000443AD" w:rsidRDefault="00A9619C" w:rsidP="000443A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lang w:eastAsia="en-US"/>
        </w:rPr>
      </w:pPr>
      <w:r w:rsidRPr="000443AD">
        <w:rPr>
          <w:rFonts w:asciiTheme="minorHAnsi" w:eastAsiaTheme="minorEastAsia" w:hAnsiTheme="minorHAnsi" w:cstheme="minorBidi"/>
          <w:lang w:eastAsia="en-US"/>
        </w:rPr>
        <w:t>Nota de prensa</w:t>
      </w:r>
    </w:p>
    <w:p w14:paraId="46308934" w14:textId="627407E0" w:rsidR="00AF521C" w:rsidRDefault="00786AA0" w:rsidP="00F3181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sz w:val="28"/>
          <w:szCs w:val="28"/>
          <w:lang w:eastAsia="en-US"/>
        </w:rPr>
      </w:pPr>
      <w:r w:rsidRPr="00786AA0">
        <w:rPr>
          <w:rFonts w:asciiTheme="minorHAnsi" w:eastAsiaTheme="minorEastAsia" w:hAnsiTheme="minorHAnsi" w:cstheme="minorBidi"/>
          <w:sz w:val="28"/>
          <w:szCs w:val="28"/>
          <w:lang w:eastAsia="en-US"/>
        </w:rPr>
        <w:t>Admitido el contencioso de Bierzo Aire Limpio contra la licencia a Cosmos</w:t>
      </w:r>
      <w:r w:rsidR="00AF521C">
        <w:rPr>
          <w:rFonts w:asciiTheme="minorHAnsi" w:eastAsiaTheme="minorEastAsia" w:hAnsiTheme="minorHAnsi" w:cstheme="minorBidi"/>
          <w:sz w:val="28"/>
          <w:szCs w:val="28"/>
          <w:lang w:eastAsia="en-US"/>
        </w:rPr>
        <w:t xml:space="preserve"> para </w:t>
      </w:r>
      <w:r w:rsidR="00BB50A4" w:rsidRPr="00BB50A4">
        <w:rPr>
          <w:rFonts w:asciiTheme="minorHAnsi" w:eastAsiaTheme="minorEastAsia" w:hAnsiTheme="minorHAnsi" w:cstheme="minorBidi"/>
          <w:sz w:val="28"/>
          <w:szCs w:val="28"/>
          <w:lang w:eastAsia="en-US"/>
        </w:rPr>
        <w:t>quema</w:t>
      </w:r>
      <w:r w:rsidR="00AF521C">
        <w:rPr>
          <w:rFonts w:asciiTheme="minorHAnsi" w:eastAsiaTheme="minorEastAsia" w:hAnsiTheme="minorHAnsi" w:cstheme="minorBidi"/>
          <w:sz w:val="28"/>
          <w:szCs w:val="28"/>
          <w:lang w:eastAsia="en-US"/>
        </w:rPr>
        <w:t>r</w:t>
      </w:r>
      <w:r w:rsidR="00BB50A4" w:rsidRPr="00BB50A4">
        <w:rPr>
          <w:rFonts w:asciiTheme="minorHAnsi" w:eastAsiaTheme="minorEastAsia" w:hAnsiTheme="minorHAnsi" w:cstheme="minorBidi"/>
          <w:sz w:val="28"/>
          <w:szCs w:val="28"/>
          <w:lang w:eastAsia="en-US"/>
        </w:rPr>
        <w:t xml:space="preserve"> neumáticos</w:t>
      </w:r>
    </w:p>
    <w:p w14:paraId="2C9F398B" w14:textId="6D24F1DA" w:rsidR="006A5354" w:rsidRDefault="00EA64A5" w:rsidP="00F3181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sz w:val="26"/>
          <w:szCs w:val="26"/>
          <w:lang w:eastAsia="en-US"/>
        </w:rPr>
      </w:pPr>
      <w:r w:rsidRPr="000C7FCB">
        <w:rPr>
          <w:rFonts w:asciiTheme="minorHAnsi" w:eastAsiaTheme="minorEastAsia" w:hAnsiTheme="minorHAnsi" w:cstheme="minorBidi"/>
          <w:sz w:val="26"/>
          <w:szCs w:val="26"/>
          <w:lang w:eastAsia="en-US"/>
        </w:rPr>
        <w:t>—</w:t>
      </w:r>
      <w:r w:rsidR="006A5354">
        <w:rPr>
          <w:rFonts w:asciiTheme="minorHAnsi" w:eastAsiaTheme="minorEastAsia" w:hAnsiTheme="minorHAnsi" w:cstheme="minorBidi"/>
          <w:sz w:val="26"/>
          <w:szCs w:val="26"/>
          <w:lang w:eastAsia="en-US"/>
        </w:rPr>
        <w:t>“L</w:t>
      </w:r>
      <w:r w:rsidR="006A5354" w:rsidRPr="006A5354">
        <w:rPr>
          <w:rFonts w:asciiTheme="minorHAnsi" w:eastAsiaTheme="minorEastAsia" w:hAnsiTheme="minorHAnsi" w:cstheme="minorBidi"/>
          <w:sz w:val="26"/>
          <w:szCs w:val="26"/>
          <w:lang w:eastAsia="en-US"/>
        </w:rPr>
        <w:t xml:space="preserve">a Consejería de Suárez-Quiñones lleva años ocultándonos el expediente </w:t>
      </w:r>
      <w:r w:rsidR="006A5354">
        <w:rPr>
          <w:rFonts w:asciiTheme="minorHAnsi" w:eastAsiaTheme="minorEastAsia" w:hAnsiTheme="minorHAnsi" w:cstheme="minorBidi"/>
          <w:sz w:val="26"/>
          <w:szCs w:val="26"/>
          <w:lang w:eastAsia="en-US"/>
        </w:rPr>
        <w:t>que ahora obtendremos en vía judicial”</w:t>
      </w:r>
    </w:p>
    <w:p w14:paraId="2841D2B8" w14:textId="78A8E6D0" w:rsidR="00AF521C" w:rsidRDefault="006A5354" w:rsidP="00F3181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sz w:val="26"/>
          <w:szCs w:val="26"/>
          <w:lang w:eastAsia="en-US"/>
        </w:rPr>
      </w:pPr>
      <w:r>
        <w:rPr>
          <w:rFonts w:asciiTheme="minorHAnsi" w:eastAsiaTheme="minorEastAsia" w:hAnsiTheme="minorHAnsi" w:cstheme="minorBidi"/>
          <w:sz w:val="26"/>
          <w:szCs w:val="26"/>
          <w:lang w:eastAsia="en-US"/>
        </w:rPr>
        <w:t>―</w:t>
      </w:r>
      <w:r w:rsidR="00AF521C">
        <w:rPr>
          <w:rFonts w:asciiTheme="minorHAnsi" w:eastAsiaTheme="minorEastAsia" w:hAnsiTheme="minorHAnsi" w:cstheme="minorBidi"/>
          <w:sz w:val="26"/>
          <w:szCs w:val="26"/>
          <w:lang w:eastAsia="en-US"/>
        </w:rPr>
        <w:t>“</w:t>
      </w:r>
      <w:r>
        <w:rPr>
          <w:rFonts w:asciiTheme="minorHAnsi" w:eastAsiaTheme="minorEastAsia" w:hAnsiTheme="minorHAnsi" w:cstheme="minorBidi"/>
          <w:sz w:val="26"/>
          <w:szCs w:val="26"/>
          <w:lang w:eastAsia="en-US"/>
        </w:rPr>
        <w:t>Quemar residuos e</w:t>
      </w:r>
      <w:r w:rsidR="00AF521C">
        <w:rPr>
          <w:rFonts w:asciiTheme="minorHAnsi" w:eastAsiaTheme="minorEastAsia" w:hAnsiTheme="minorHAnsi" w:cstheme="minorBidi"/>
          <w:sz w:val="26"/>
          <w:szCs w:val="26"/>
          <w:lang w:eastAsia="en-US"/>
        </w:rPr>
        <w:t>s un atropello al Bierzo que hundirá la reputación de los vinos y productos bercianos para favorecer a una multinacional”</w:t>
      </w:r>
    </w:p>
    <w:p w14:paraId="7D7595E6" w14:textId="12AEB29C" w:rsidR="00FB3D08" w:rsidRDefault="003E21C4" w:rsidP="00B701BA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lang w:eastAsia="en-US"/>
        </w:rPr>
      </w:pPr>
      <w:r w:rsidRPr="001F6B1E">
        <w:rPr>
          <w:rFonts w:asciiTheme="minorHAnsi" w:eastAsiaTheme="minorEastAsia" w:hAnsiTheme="minorHAnsi" w:cstheme="minorBidi"/>
          <w:smallCaps/>
          <w:lang w:eastAsia="en-US"/>
        </w:rPr>
        <w:t xml:space="preserve">Ponferrada, </w:t>
      </w:r>
      <w:r w:rsidR="00786AA0">
        <w:rPr>
          <w:rFonts w:asciiTheme="minorHAnsi" w:eastAsiaTheme="minorEastAsia" w:hAnsiTheme="minorHAnsi" w:cstheme="minorBidi"/>
          <w:smallCaps/>
          <w:lang w:eastAsia="en-US"/>
        </w:rPr>
        <w:t>23</w:t>
      </w:r>
      <w:r w:rsidRPr="001F6B1E">
        <w:rPr>
          <w:rFonts w:asciiTheme="minorHAnsi" w:eastAsiaTheme="minorEastAsia" w:hAnsiTheme="minorHAnsi" w:cstheme="minorBidi"/>
          <w:smallCaps/>
          <w:lang w:eastAsia="en-US"/>
        </w:rPr>
        <w:t xml:space="preserve">, </w:t>
      </w:r>
      <w:r w:rsidR="00786AA0">
        <w:rPr>
          <w:rFonts w:asciiTheme="minorHAnsi" w:eastAsiaTheme="minorEastAsia" w:hAnsiTheme="minorHAnsi" w:cstheme="minorBidi"/>
          <w:smallCaps/>
          <w:lang w:eastAsia="en-US"/>
        </w:rPr>
        <w:t>X</w:t>
      </w:r>
      <w:r w:rsidRPr="001F6B1E">
        <w:rPr>
          <w:rFonts w:asciiTheme="minorHAnsi" w:eastAsiaTheme="minorEastAsia" w:hAnsiTheme="minorHAnsi" w:cstheme="minorBidi"/>
          <w:smallCaps/>
          <w:lang w:eastAsia="en-US"/>
        </w:rPr>
        <w:t>.-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786AA0">
        <w:rPr>
          <w:rFonts w:asciiTheme="minorHAnsi" w:eastAsiaTheme="minorEastAsia" w:hAnsiTheme="minorHAnsi" w:cstheme="minorBidi"/>
          <w:lang w:eastAsia="en-US"/>
        </w:rPr>
        <w:t xml:space="preserve">La Sala de lo Contencioso Administrativo 1 de Valladolid ha admitido a trámite el recurso presentado por la ONG ecologista Bierzo Aire Limpio contra la licencia </w:t>
      </w:r>
      <w:r w:rsidR="006A5354">
        <w:rPr>
          <w:rFonts w:asciiTheme="minorHAnsi" w:eastAsiaTheme="minorEastAsia" w:hAnsiTheme="minorHAnsi" w:cstheme="minorBidi"/>
          <w:lang w:eastAsia="en-US"/>
        </w:rPr>
        <w:t>concedida</w:t>
      </w:r>
      <w:r w:rsidR="00786AA0">
        <w:rPr>
          <w:rFonts w:asciiTheme="minorHAnsi" w:eastAsiaTheme="minorEastAsia" w:hAnsiTheme="minorHAnsi" w:cstheme="minorBidi"/>
          <w:lang w:eastAsia="en-US"/>
        </w:rPr>
        <w:t xml:space="preserve"> por la Consejería de Fomento y Medio Ambiente a la </w:t>
      </w:r>
      <w:r w:rsidR="00AF521C">
        <w:rPr>
          <w:rFonts w:asciiTheme="minorHAnsi" w:eastAsiaTheme="minorEastAsia" w:hAnsiTheme="minorHAnsi" w:cstheme="minorBidi"/>
          <w:lang w:eastAsia="en-US"/>
        </w:rPr>
        <w:t xml:space="preserve">Cementos Cosmos para quemar </w:t>
      </w:r>
      <w:r w:rsidR="003900DB">
        <w:rPr>
          <w:rFonts w:asciiTheme="minorHAnsi" w:eastAsiaTheme="minorEastAsia" w:hAnsiTheme="minorHAnsi" w:cstheme="minorBidi"/>
          <w:lang w:eastAsia="en-US"/>
        </w:rPr>
        <w:t>neumáticos</w:t>
      </w:r>
      <w:r w:rsidR="00AF521C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786AA0">
        <w:rPr>
          <w:rFonts w:asciiTheme="minorHAnsi" w:eastAsiaTheme="minorEastAsia" w:hAnsiTheme="minorHAnsi" w:cstheme="minorBidi"/>
          <w:lang w:eastAsia="en-US"/>
        </w:rPr>
        <w:t xml:space="preserve">usados </w:t>
      </w:r>
      <w:r w:rsidR="00AF521C">
        <w:rPr>
          <w:rFonts w:asciiTheme="minorHAnsi" w:eastAsiaTheme="minorEastAsia" w:hAnsiTheme="minorHAnsi" w:cstheme="minorBidi"/>
          <w:lang w:eastAsia="en-US"/>
        </w:rPr>
        <w:t>en su fábrica de Toral de los Vados</w:t>
      </w:r>
      <w:r w:rsidR="00FB3D08">
        <w:rPr>
          <w:rFonts w:asciiTheme="minorHAnsi" w:eastAsiaTheme="minorEastAsia" w:hAnsiTheme="minorHAnsi" w:cstheme="minorBidi"/>
          <w:lang w:eastAsia="en-US"/>
        </w:rPr>
        <w:t>.</w:t>
      </w:r>
    </w:p>
    <w:p w14:paraId="7E621683" w14:textId="77777777" w:rsidR="001D572C" w:rsidRDefault="00786AA0" w:rsidP="001D572C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“Con la admisión de nuestro recurso ante el Tribunal Superior de Castilla y León ―afirma Aire Limpio en un comunicado―, se da el primer paso pa</w:t>
      </w:r>
      <w:r w:rsidRPr="00786AA0">
        <w:rPr>
          <w:rFonts w:asciiTheme="minorHAnsi" w:eastAsiaTheme="minorEastAsia" w:hAnsiTheme="minorHAnsi" w:cstheme="minorBidi"/>
          <w:lang w:eastAsia="en-US"/>
        </w:rPr>
        <w:t>ra restablecer la legalidad pisoteada por el consejero de Fomento, Suárez-Quiñones</w:t>
      </w:r>
      <w:r>
        <w:rPr>
          <w:rFonts w:asciiTheme="minorHAnsi" w:eastAsiaTheme="minorEastAsia" w:hAnsiTheme="minorHAnsi" w:cstheme="minorBidi"/>
          <w:lang w:eastAsia="en-US"/>
        </w:rPr>
        <w:t xml:space="preserve">, en un </w:t>
      </w:r>
      <w:r w:rsidR="00FB3D08">
        <w:rPr>
          <w:rFonts w:asciiTheme="minorHAnsi" w:eastAsiaTheme="minorEastAsia" w:hAnsiTheme="minorHAnsi" w:cstheme="minorBidi"/>
          <w:lang w:eastAsia="en-US"/>
        </w:rPr>
        <w:t xml:space="preserve">expediente </w:t>
      </w:r>
      <w:r>
        <w:rPr>
          <w:rFonts w:asciiTheme="minorHAnsi" w:eastAsiaTheme="minorEastAsia" w:hAnsiTheme="minorHAnsi" w:cstheme="minorBidi"/>
          <w:lang w:eastAsia="en-US"/>
        </w:rPr>
        <w:t>tramitado de modo</w:t>
      </w:r>
      <w:r w:rsidR="00FB3D08">
        <w:rPr>
          <w:rFonts w:asciiTheme="minorHAnsi" w:eastAsiaTheme="minorEastAsia" w:hAnsiTheme="minorHAnsi" w:cstheme="minorBidi"/>
          <w:lang w:eastAsia="en-US"/>
        </w:rPr>
        <w:t xml:space="preserve"> oscurantista y torticer</w:t>
      </w:r>
      <w:r>
        <w:rPr>
          <w:rFonts w:asciiTheme="minorHAnsi" w:eastAsiaTheme="minorEastAsia" w:hAnsiTheme="minorHAnsi" w:cstheme="minorBidi"/>
          <w:lang w:eastAsia="en-US"/>
        </w:rPr>
        <w:t>o</w:t>
      </w:r>
      <w:r w:rsidR="00FB3D08">
        <w:rPr>
          <w:rFonts w:asciiTheme="minorHAnsi" w:eastAsiaTheme="minorEastAsia" w:hAnsiTheme="minorHAnsi" w:cstheme="minorBidi"/>
          <w:lang w:eastAsia="en-US"/>
        </w:rPr>
        <w:t>, ocultando informes y trámites, a espaldas de la participación ciudadana, sin tener en cuenta las 12.000 firmas y los cientos de alegaciones presentadas, ni la opinión del Consejo Regulador de la Denominación de Origen Vinos del Bierzo o de las denominaciones y marcas de garantía de la cereza, la castaña, el botillo, el pimiento asado, la pera conferencia y la manzana reineta</w:t>
      </w:r>
      <w:r w:rsidR="003900DB">
        <w:rPr>
          <w:rFonts w:asciiTheme="minorHAnsi" w:eastAsiaTheme="minorEastAsia" w:hAnsiTheme="minorHAnsi" w:cstheme="minorBidi"/>
          <w:lang w:eastAsia="en-US"/>
        </w:rPr>
        <w:t>, o las recomendaciones del Procurador del Común</w:t>
      </w:r>
      <w:r>
        <w:rPr>
          <w:rFonts w:asciiTheme="minorHAnsi" w:eastAsiaTheme="minorEastAsia" w:hAnsiTheme="minorHAnsi" w:cstheme="minorBidi"/>
          <w:lang w:eastAsia="en-US"/>
        </w:rPr>
        <w:t>”</w:t>
      </w:r>
      <w:r w:rsidR="00FB3D08">
        <w:rPr>
          <w:rFonts w:asciiTheme="minorHAnsi" w:eastAsiaTheme="minorEastAsia" w:hAnsiTheme="minorHAnsi" w:cstheme="minorBidi"/>
          <w:lang w:eastAsia="en-US"/>
        </w:rPr>
        <w:t>.</w:t>
      </w:r>
    </w:p>
    <w:p w14:paraId="2F336A98" w14:textId="77777777" w:rsidR="001D572C" w:rsidRDefault="001D572C" w:rsidP="001D572C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El auto de admisión dictado por el TSJ el pasado 6 de octubre, inicia el procedimiento ordinario y “r</w:t>
      </w:r>
      <w:r w:rsidRPr="001D572C">
        <w:rPr>
          <w:rFonts w:asciiTheme="minorHAnsi" w:eastAsiaTheme="minorEastAsia" w:hAnsiTheme="minorHAnsi" w:cstheme="minorBidi"/>
          <w:lang w:eastAsia="en-US"/>
        </w:rPr>
        <w:t>equ</w:t>
      </w:r>
      <w:r>
        <w:rPr>
          <w:rFonts w:asciiTheme="minorHAnsi" w:eastAsiaTheme="minorEastAsia" w:hAnsiTheme="minorHAnsi" w:cstheme="minorBidi"/>
          <w:lang w:eastAsia="en-US"/>
        </w:rPr>
        <w:t>iere</w:t>
      </w:r>
      <w:r w:rsidRPr="001D572C">
        <w:rPr>
          <w:rFonts w:asciiTheme="minorHAnsi" w:eastAsiaTheme="minorEastAsia" w:hAnsiTheme="minorHAnsi" w:cstheme="minorBidi"/>
          <w:lang w:eastAsia="en-US"/>
        </w:rPr>
        <w:t xml:space="preserve"> a la C</w:t>
      </w:r>
      <w:r w:rsidRPr="001D572C">
        <w:rPr>
          <w:rFonts w:asciiTheme="minorHAnsi" w:eastAsiaTheme="minorEastAsia" w:hAnsiTheme="minorHAnsi" w:cstheme="minorBidi"/>
          <w:lang w:eastAsia="en-US"/>
        </w:rPr>
        <w:t xml:space="preserve">onsejería </w:t>
      </w:r>
      <w:r>
        <w:rPr>
          <w:rFonts w:asciiTheme="minorHAnsi" w:eastAsiaTheme="minorEastAsia" w:hAnsiTheme="minorHAnsi" w:cstheme="minorBidi"/>
          <w:lang w:eastAsia="en-US"/>
        </w:rPr>
        <w:t>d</w:t>
      </w:r>
      <w:r w:rsidRPr="001D572C">
        <w:rPr>
          <w:rFonts w:asciiTheme="minorHAnsi" w:eastAsiaTheme="minorEastAsia" w:hAnsiTheme="minorHAnsi" w:cstheme="minorBidi"/>
          <w:lang w:eastAsia="en-US"/>
        </w:rPr>
        <w:t xml:space="preserve">e Fomento </w:t>
      </w:r>
      <w:r w:rsidRPr="001D572C">
        <w:rPr>
          <w:rFonts w:asciiTheme="minorHAnsi" w:eastAsiaTheme="minorEastAsia" w:hAnsiTheme="minorHAnsi" w:cstheme="minorBidi"/>
          <w:lang w:eastAsia="en-US"/>
        </w:rPr>
        <w:t>para que remi</w:t>
      </w:r>
      <w:r>
        <w:rPr>
          <w:rFonts w:asciiTheme="minorHAnsi" w:eastAsiaTheme="minorEastAsia" w:hAnsiTheme="minorHAnsi" w:cstheme="minorBidi"/>
          <w:lang w:eastAsia="en-US"/>
        </w:rPr>
        <w:t>ta al</w:t>
      </w:r>
      <w:r w:rsidRPr="001D572C">
        <w:rPr>
          <w:rFonts w:asciiTheme="minorHAnsi" w:eastAsiaTheme="minorEastAsia" w:hAnsiTheme="minorHAnsi" w:cstheme="minorBidi"/>
          <w:lang w:eastAsia="en-US"/>
        </w:rPr>
        <w:t xml:space="preserve"> órgano judicial los expedientes administrativos a que se refiere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Pr="001D572C">
        <w:rPr>
          <w:rFonts w:asciiTheme="minorHAnsi" w:eastAsiaTheme="minorEastAsia" w:hAnsiTheme="minorHAnsi" w:cstheme="minorBidi"/>
          <w:lang w:eastAsia="en-US"/>
        </w:rPr>
        <w:t>el acto impugnado</w:t>
      </w:r>
      <w:r>
        <w:rPr>
          <w:rFonts w:asciiTheme="minorHAnsi" w:eastAsiaTheme="minorEastAsia" w:hAnsiTheme="minorHAnsi" w:cstheme="minorBidi"/>
          <w:lang w:eastAsia="en-US"/>
        </w:rPr>
        <w:t xml:space="preserve"> ―la licencia o declaración ambiental de 2 de junio―</w:t>
      </w:r>
      <w:r w:rsidRPr="001D572C">
        <w:rPr>
          <w:rFonts w:asciiTheme="minorHAnsi" w:eastAsiaTheme="minorEastAsia" w:hAnsiTheme="minorHAnsi" w:cstheme="minorBidi"/>
          <w:lang w:eastAsia="en-US"/>
        </w:rPr>
        <w:t>, en el plazo improrrogable de veinte días</w:t>
      </w:r>
      <w:r>
        <w:rPr>
          <w:rFonts w:asciiTheme="minorHAnsi" w:eastAsiaTheme="minorEastAsia" w:hAnsiTheme="minorHAnsi" w:cstheme="minorBidi"/>
          <w:lang w:eastAsia="en-US"/>
        </w:rPr>
        <w:t xml:space="preserve">”. </w:t>
      </w:r>
    </w:p>
    <w:p w14:paraId="04468649" w14:textId="449FC1A5" w:rsidR="001D572C" w:rsidRDefault="001D572C" w:rsidP="001D572C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“Denunciamos que la Consejería de Suárez-Quiñones lleva años ocultándonos el expediente ―explica Bierzo Aire Limpio―. Hemos tenido que esperar a que lo exija un Tribunal para conseguir en vía judicial “</w:t>
      </w:r>
      <w:r w:rsidRPr="001D572C">
        <w:rPr>
          <w:rFonts w:asciiTheme="minorHAnsi" w:eastAsiaTheme="minorEastAsia" w:hAnsiTheme="minorHAnsi" w:cstheme="minorBidi"/>
          <w:lang w:eastAsia="en-US"/>
        </w:rPr>
        <w:t xml:space="preserve">copia autentificada del </w:t>
      </w:r>
      <w:r>
        <w:rPr>
          <w:rFonts w:asciiTheme="minorHAnsi" w:eastAsiaTheme="minorEastAsia" w:hAnsiTheme="minorHAnsi" w:cstheme="minorBidi"/>
          <w:lang w:eastAsia="en-US"/>
        </w:rPr>
        <w:t>expediente</w:t>
      </w:r>
      <w:r w:rsidRPr="001D572C">
        <w:rPr>
          <w:rFonts w:asciiTheme="minorHAnsi" w:eastAsiaTheme="minorEastAsia" w:hAnsiTheme="minorHAnsi" w:cstheme="minorBidi"/>
          <w:lang w:eastAsia="en-US"/>
        </w:rPr>
        <w:t>, debidamente foliado, con los documentos e índices correspondientes</w:t>
      </w:r>
      <w:r>
        <w:rPr>
          <w:rFonts w:asciiTheme="minorHAnsi" w:eastAsiaTheme="minorEastAsia" w:hAnsiTheme="minorHAnsi" w:cstheme="minorBidi"/>
          <w:lang w:eastAsia="en-US"/>
        </w:rPr>
        <w:t>. Ahora empezaremos a aflorar todas las irregularidades de este procedimiento, que son muchas, y confiamos en que finalmente, los Tribunales anulen un permiso para quema</w:t>
      </w:r>
      <w:r w:rsidR="006A5354">
        <w:rPr>
          <w:rFonts w:asciiTheme="minorHAnsi" w:eastAsiaTheme="minorEastAsia" w:hAnsiTheme="minorHAnsi" w:cstheme="minorBidi"/>
          <w:lang w:eastAsia="en-US"/>
        </w:rPr>
        <w:t>r</w:t>
      </w:r>
      <w:r>
        <w:rPr>
          <w:rFonts w:asciiTheme="minorHAnsi" w:eastAsiaTheme="minorEastAsia" w:hAnsiTheme="minorHAnsi" w:cstheme="minorBidi"/>
          <w:lang w:eastAsia="en-US"/>
        </w:rPr>
        <w:t xml:space="preserve"> neumáticos que nunca debió ser concedido”.</w:t>
      </w:r>
    </w:p>
    <w:p w14:paraId="70D79B37" w14:textId="4673BF50" w:rsidR="00FB3D08" w:rsidRDefault="001D572C" w:rsidP="005D3AB7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“La incineración de neumáticos y residuos peligrosos en el centro de la comarca ―</w:t>
      </w:r>
      <w:r w:rsidR="00CF17C1">
        <w:rPr>
          <w:rFonts w:asciiTheme="minorHAnsi" w:eastAsiaTheme="minorEastAsia" w:hAnsiTheme="minorHAnsi" w:cstheme="minorBidi"/>
          <w:lang w:eastAsia="en-US"/>
        </w:rPr>
        <w:t>afirma</w:t>
      </w:r>
      <w:r>
        <w:rPr>
          <w:rFonts w:asciiTheme="minorHAnsi" w:eastAsiaTheme="minorEastAsia" w:hAnsiTheme="minorHAnsi" w:cstheme="minorBidi"/>
          <w:lang w:eastAsia="en-US"/>
        </w:rPr>
        <w:t xml:space="preserve"> Bierzo Aire Limpio―, </w:t>
      </w:r>
      <w:r w:rsidR="00FB3D08">
        <w:rPr>
          <w:rFonts w:asciiTheme="minorHAnsi" w:eastAsiaTheme="minorEastAsia" w:hAnsiTheme="minorHAnsi" w:cstheme="minorBidi"/>
          <w:lang w:eastAsia="en-US"/>
        </w:rPr>
        <w:t>hundirá la reputación de los vinos y productos bercianos en los mercados internacionales, en el momento más delicado</w:t>
      </w:r>
      <w:r w:rsidR="003900DB">
        <w:rPr>
          <w:rFonts w:asciiTheme="minorHAnsi" w:eastAsiaTheme="minorEastAsia" w:hAnsiTheme="minorHAnsi" w:cstheme="minorBidi"/>
          <w:lang w:eastAsia="en-US"/>
        </w:rPr>
        <w:t xml:space="preserve"> y sensible</w:t>
      </w:r>
      <w:r w:rsidR="00FB3D08">
        <w:rPr>
          <w:rFonts w:asciiTheme="minorHAnsi" w:eastAsiaTheme="minorEastAsia" w:hAnsiTheme="minorHAnsi" w:cstheme="minorBidi"/>
          <w:lang w:eastAsia="en-US"/>
        </w:rPr>
        <w:t xml:space="preserve">, y compromete frontalmente el futuro del Bierzo. Es un desprecio </w:t>
      </w:r>
      <w:r>
        <w:rPr>
          <w:rFonts w:asciiTheme="minorHAnsi" w:eastAsiaTheme="minorEastAsia" w:hAnsiTheme="minorHAnsi" w:cstheme="minorBidi"/>
          <w:lang w:eastAsia="en-US"/>
        </w:rPr>
        <w:t xml:space="preserve">de Suárez-Quiñones y sus cómplices </w:t>
      </w:r>
      <w:r w:rsidR="00FB3D08">
        <w:rPr>
          <w:rFonts w:asciiTheme="minorHAnsi" w:eastAsiaTheme="minorEastAsia" w:hAnsiTheme="minorHAnsi" w:cstheme="minorBidi"/>
          <w:lang w:eastAsia="en-US"/>
        </w:rPr>
        <w:t>al Bierzo.</w:t>
      </w:r>
      <w:r>
        <w:rPr>
          <w:rFonts w:asciiTheme="minorHAnsi" w:eastAsiaTheme="minorEastAsia" w:hAnsiTheme="minorHAnsi" w:cstheme="minorBidi"/>
          <w:lang w:eastAsia="en-US"/>
        </w:rPr>
        <w:t xml:space="preserve"> Nadie</w:t>
      </w:r>
      <w:r w:rsidR="003900DB">
        <w:rPr>
          <w:rFonts w:asciiTheme="minorHAnsi" w:eastAsiaTheme="minorEastAsia" w:hAnsiTheme="minorHAnsi" w:cstheme="minorBidi"/>
          <w:lang w:eastAsia="en-US"/>
        </w:rPr>
        <w:t xml:space="preserve"> querrá beber vino, comer cerezas o manzanas o hacer turismo al pie de una chimenea tóxica</w:t>
      </w:r>
      <w:r>
        <w:rPr>
          <w:rFonts w:asciiTheme="minorHAnsi" w:eastAsiaTheme="minorEastAsia" w:hAnsiTheme="minorHAnsi" w:cstheme="minorBidi"/>
          <w:lang w:eastAsia="en-US"/>
        </w:rPr>
        <w:t>”.</w:t>
      </w:r>
    </w:p>
    <w:p w14:paraId="64333444" w14:textId="2A0DC91F" w:rsidR="00D12ED2" w:rsidRDefault="00D12ED2" w:rsidP="00D12ED2">
      <w:pPr>
        <w:pStyle w:val="normalant"/>
        <w:spacing w:before="0" w:beforeAutospacing="0" w:after="0" w:afterAutospacing="0"/>
        <w:ind w:firstLine="709"/>
        <w:jc w:val="right"/>
        <w:rPr>
          <w:lang w:eastAsia="en-US"/>
        </w:rPr>
      </w:pPr>
      <w:r>
        <w:rPr>
          <w:lang w:eastAsia="en-US"/>
        </w:rPr>
        <w:t>(con ruego de publicación)</w:t>
      </w:r>
    </w:p>
    <w:sectPr w:rsidR="00D12ED2" w:rsidSect="00736444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E9DC31" w14:textId="77777777" w:rsidR="008418F1" w:rsidRDefault="008418F1" w:rsidP="00DC0A72">
      <w:pPr>
        <w:spacing w:after="0" w:line="240" w:lineRule="auto"/>
      </w:pPr>
      <w:r>
        <w:separator/>
      </w:r>
    </w:p>
  </w:endnote>
  <w:endnote w:type="continuationSeparator" w:id="0">
    <w:p w14:paraId="6E556A92" w14:textId="77777777" w:rsidR="008418F1" w:rsidRDefault="008418F1" w:rsidP="00DC0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 PS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CDBABA" w14:textId="77777777" w:rsidR="008418F1" w:rsidRDefault="008418F1" w:rsidP="00DC0A72">
      <w:pPr>
        <w:spacing w:after="0" w:line="240" w:lineRule="auto"/>
      </w:pPr>
      <w:r>
        <w:separator/>
      </w:r>
    </w:p>
  </w:footnote>
  <w:footnote w:type="continuationSeparator" w:id="0">
    <w:p w14:paraId="5B87CBB9" w14:textId="77777777" w:rsidR="008418F1" w:rsidRDefault="008418F1" w:rsidP="00DC0A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40166"/>
    <w:multiLevelType w:val="multilevel"/>
    <w:tmpl w:val="C0BC6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42E5D"/>
    <w:multiLevelType w:val="multilevel"/>
    <w:tmpl w:val="A0BE0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974015"/>
    <w:multiLevelType w:val="multilevel"/>
    <w:tmpl w:val="2FEA7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B0790F"/>
    <w:multiLevelType w:val="multilevel"/>
    <w:tmpl w:val="F60A9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CD3DF9"/>
    <w:multiLevelType w:val="multilevel"/>
    <w:tmpl w:val="60E46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CD7684"/>
    <w:multiLevelType w:val="multilevel"/>
    <w:tmpl w:val="D3D64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D11C47"/>
    <w:multiLevelType w:val="multilevel"/>
    <w:tmpl w:val="1AF69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3A61D4"/>
    <w:multiLevelType w:val="multilevel"/>
    <w:tmpl w:val="86E22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C52AC3"/>
    <w:multiLevelType w:val="multilevel"/>
    <w:tmpl w:val="6EC4F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F52E98"/>
    <w:multiLevelType w:val="multilevel"/>
    <w:tmpl w:val="66066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6E3E51"/>
    <w:multiLevelType w:val="multilevel"/>
    <w:tmpl w:val="F7F06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B6687B"/>
    <w:multiLevelType w:val="multilevel"/>
    <w:tmpl w:val="0E122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4"/>
  </w:num>
  <w:num w:numId="5">
    <w:abstractNumId w:val="7"/>
  </w:num>
  <w:num w:numId="6">
    <w:abstractNumId w:val="0"/>
  </w:num>
  <w:num w:numId="7">
    <w:abstractNumId w:val="6"/>
  </w:num>
  <w:num w:numId="8">
    <w:abstractNumId w:val="11"/>
  </w:num>
  <w:num w:numId="9">
    <w:abstractNumId w:val="10"/>
  </w:num>
  <w:num w:numId="10">
    <w:abstractNumId w:val="9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29AF"/>
    <w:rsid w:val="00001DD9"/>
    <w:rsid w:val="0000726D"/>
    <w:rsid w:val="00030F39"/>
    <w:rsid w:val="000341A9"/>
    <w:rsid w:val="0004034C"/>
    <w:rsid w:val="000443AD"/>
    <w:rsid w:val="0007553A"/>
    <w:rsid w:val="00091FAD"/>
    <w:rsid w:val="000C5E9D"/>
    <w:rsid w:val="000C7FCB"/>
    <w:rsid w:val="00115050"/>
    <w:rsid w:val="00160663"/>
    <w:rsid w:val="001B5BC9"/>
    <w:rsid w:val="001D572C"/>
    <w:rsid w:val="001D6EFE"/>
    <w:rsid w:val="001E424E"/>
    <w:rsid w:val="001F6B1E"/>
    <w:rsid w:val="0021339E"/>
    <w:rsid w:val="00226FF7"/>
    <w:rsid w:val="00262A32"/>
    <w:rsid w:val="002927D7"/>
    <w:rsid w:val="002A7BFA"/>
    <w:rsid w:val="002D4E22"/>
    <w:rsid w:val="00303C25"/>
    <w:rsid w:val="00341EBC"/>
    <w:rsid w:val="00346DEA"/>
    <w:rsid w:val="003473C7"/>
    <w:rsid w:val="003535EF"/>
    <w:rsid w:val="003900DB"/>
    <w:rsid w:val="0039640A"/>
    <w:rsid w:val="003A0147"/>
    <w:rsid w:val="003C2B45"/>
    <w:rsid w:val="003D0090"/>
    <w:rsid w:val="003E21C4"/>
    <w:rsid w:val="00471D49"/>
    <w:rsid w:val="00491802"/>
    <w:rsid w:val="004A2AD8"/>
    <w:rsid w:val="004C564F"/>
    <w:rsid w:val="004D3D1A"/>
    <w:rsid w:val="00500949"/>
    <w:rsid w:val="00513E01"/>
    <w:rsid w:val="00517456"/>
    <w:rsid w:val="00521D88"/>
    <w:rsid w:val="0055635C"/>
    <w:rsid w:val="005729AF"/>
    <w:rsid w:val="005B69C0"/>
    <w:rsid w:val="005D13AA"/>
    <w:rsid w:val="005D3AB7"/>
    <w:rsid w:val="005D56E8"/>
    <w:rsid w:val="005D5934"/>
    <w:rsid w:val="00606E73"/>
    <w:rsid w:val="006122AF"/>
    <w:rsid w:val="00622026"/>
    <w:rsid w:val="006632C6"/>
    <w:rsid w:val="00681F3B"/>
    <w:rsid w:val="006A5354"/>
    <w:rsid w:val="006B3069"/>
    <w:rsid w:val="006C724D"/>
    <w:rsid w:val="006F5526"/>
    <w:rsid w:val="00736444"/>
    <w:rsid w:val="00786AA0"/>
    <w:rsid w:val="00796CCE"/>
    <w:rsid w:val="007B1803"/>
    <w:rsid w:val="007C08E3"/>
    <w:rsid w:val="007C2033"/>
    <w:rsid w:val="007D7D7E"/>
    <w:rsid w:val="007E485A"/>
    <w:rsid w:val="007E4E48"/>
    <w:rsid w:val="00817027"/>
    <w:rsid w:val="00826505"/>
    <w:rsid w:val="008418F1"/>
    <w:rsid w:val="008565D8"/>
    <w:rsid w:val="00897E57"/>
    <w:rsid w:val="008C0D26"/>
    <w:rsid w:val="00940CF0"/>
    <w:rsid w:val="00940D79"/>
    <w:rsid w:val="009429BB"/>
    <w:rsid w:val="00957D10"/>
    <w:rsid w:val="009628AF"/>
    <w:rsid w:val="00966164"/>
    <w:rsid w:val="00A337C6"/>
    <w:rsid w:val="00A90108"/>
    <w:rsid w:val="00A9619C"/>
    <w:rsid w:val="00AD6D23"/>
    <w:rsid w:val="00AF521C"/>
    <w:rsid w:val="00B402AE"/>
    <w:rsid w:val="00B701BA"/>
    <w:rsid w:val="00B77FE0"/>
    <w:rsid w:val="00B81094"/>
    <w:rsid w:val="00B84C0C"/>
    <w:rsid w:val="00BB50A4"/>
    <w:rsid w:val="00BF5CFC"/>
    <w:rsid w:val="00C30A1C"/>
    <w:rsid w:val="00CB58C8"/>
    <w:rsid w:val="00CC2FF5"/>
    <w:rsid w:val="00CC3644"/>
    <w:rsid w:val="00CD07AF"/>
    <w:rsid w:val="00CF17C1"/>
    <w:rsid w:val="00D10315"/>
    <w:rsid w:val="00D12ED2"/>
    <w:rsid w:val="00D313EF"/>
    <w:rsid w:val="00DC0A72"/>
    <w:rsid w:val="00DD5B53"/>
    <w:rsid w:val="00E14FE8"/>
    <w:rsid w:val="00E2660F"/>
    <w:rsid w:val="00E54DF0"/>
    <w:rsid w:val="00EA64A5"/>
    <w:rsid w:val="00EB6FD9"/>
    <w:rsid w:val="00EB7A48"/>
    <w:rsid w:val="00EC14A2"/>
    <w:rsid w:val="00F02F83"/>
    <w:rsid w:val="00F1086C"/>
    <w:rsid w:val="00F13A60"/>
    <w:rsid w:val="00F3181D"/>
    <w:rsid w:val="00F801ED"/>
    <w:rsid w:val="00FB3D08"/>
    <w:rsid w:val="00FC2D1E"/>
    <w:rsid w:val="00FE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3E98C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NTARTIDA-normal"/>
    <w:qFormat/>
    <w:rsid w:val="00F1086C"/>
    <w:rPr>
      <w:rFonts w:eastAsiaTheme="minorEastAsia"/>
    </w:rPr>
  </w:style>
  <w:style w:type="paragraph" w:styleId="Ttulo1">
    <w:name w:val="heading 1"/>
    <w:basedOn w:val="Normal"/>
    <w:next w:val="Normal"/>
    <w:link w:val="Ttulo1Car"/>
    <w:uiPriority w:val="9"/>
    <w:qFormat/>
    <w:rsid w:val="00F1086C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1086C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1086C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1086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086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108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08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086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086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itcora-prrafo">
    <w:name w:val="Bitácora-párrafo"/>
    <w:basedOn w:val="NormalWeb"/>
    <w:qFormat/>
    <w:rsid w:val="00F801ED"/>
    <w:pPr>
      <w:spacing w:before="0" w:beforeAutospacing="0" w:after="0" w:afterAutospacing="0"/>
      <w:ind w:firstLine="284"/>
      <w:jc w:val="both"/>
    </w:pPr>
    <w:rPr>
      <w:rFonts w:ascii="Trebuchet MS" w:hAnsi="Trebuchet MS"/>
      <w:sz w:val="22"/>
    </w:rPr>
  </w:style>
  <w:style w:type="paragraph" w:styleId="NormalWeb">
    <w:name w:val="Normal (Web)"/>
    <w:basedOn w:val="Normal"/>
    <w:uiPriority w:val="99"/>
    <w:unhideWhenUsed/>
    <w:rsid w:val="00F10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bitacora-fecha">
    <w:name w:val="bitacora-fecha"/>
    <w:basedOn w:val="Bitcora-prrafo"/>
    <w:qFormat/>
    <w:rsid w:val="00115050"/>
    <w:pPr>
      <w:spacing w:before="60" w:after="60"/>
      <w:ind w:firstLine="0"/>
    </w:pPr>
    <w:rPr>
      <w:color w:val="0057A6"/>
      <w:sz w:val="20"/>
    </w:rPr>
  </w:style>
  <w:style w:type="paragraph" w:styleId="Cita">
    <w:name w:val="Quote"/>
    <w:basedOn w:val="Normal"/>
    <w:next w:val="Normal"/>
    <w:link w:val="CitaCar"/>
    <w:uiPriority w:val="29"/>
    <w:qFormat/>
    <w:rsid w:val="00F1086C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F1086C"/>
    <w:rPr>
      <w:rFonts w:eastAsiaTheme="minorEastAsia"/>
      <w:color w:val="44546A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086C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086C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1086C"/>
    <w:pPr>
      <w:spacing w:line="240" w:lineRule="auto"/>
    </w:pPr>
    <w:rPr>
      <w:b/>
      <w:bCs/>
      <w:smallCaps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F1086C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1086C"/>
    <w:rPr>
      <w:b/>
      <w:bCs/>
      <w:i/>
      <w:iCs/>
    </w:rPr>
  </w:style>
  <w:style w:type="character" w:styleId="nfasissutil">
    <w:name w:val="Subtle Emphasis"/>
    <w:basedOn w:val="Fuentedeprrafopredeter"/>
    <w:uiPriority w:val="19"/>
    <w:qFormat/>
    <w:rsid w:val="00F1086C"/>
    <w:rPr>
      <w:i/>
      <w:iCs/>
      <w:color w:val="595959" w:themeColor="text1" w:themeTint="A6"/>
    </w:rPr>
  </w:style>
  <w:style w:type="character" w:styleId="Hipervnculo">
    <w:name w:val="Hyperlink"/>
    <w:basedOn w:val="Fuentedeprrafopredeter"/>
    <w:uiPriority w:val="99"/>
    <w:unhideWhenUsed/>
    <w:rsid w:val="00F1086C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F1086C"/>
    <w:pPr>
      <w:ind w:left="720"/>
      <w:contextualSpacing/>
    </w:pPr>
  </w:style>
  <w:style w:type="character" w:styleId="Referenciaintensa">
    <w:name w:val="Intense Reference"/>
    <w:basedOn w:val="Fuentedeprrafopredeter"/>
    <w:uiPriority w:val="32"/>
    <w:qFormat/>
    <w:rsid w:val="00F1086C"/>
    <w:rPr>
      <w:b/>
      <w:bCs/>
      <w:smallCaps/>
      <w:color w:val="44546A" w:themeColor="text2"/>
      <w:u w:val="single"/>
    </w:rPr>
  </w:style>
  <w:style w:type="character" w:styleId="Referenciasutil">
    <w:name w:val="Subtle Reference"/>
    <w:basedOn w:val="Fuentedeprrafopredeter"/>
    <w:uiPriority w:val="31"/>
    <w:qFormat/>
    <w:rsid w:val="00F1086C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paragraph" w:styleId="Sinespaciado">
    <w:name w:val="No Spacing"/>
    <w:uiPriority w:val="1"/>
    <w:qFormat/>
    <w:rsid w:val="00F1086C"/>
    <w:pPr>
      <w:spacing w:after="0" w:line="240" w:lineRule="auto"/>
    </w:pPr>
    <w:rPr>
      <w:rFonts w:eastAsiaTheme="minorEastAsia"/>
    </w:rPr>
  </w:style>
  <w:style w:type="paragraph" w:styleId="Subttulo">
    <w:name w:val="Subtitle"/>
    <w:basedOn w:val="Normal"/>
    <w:next w:val="Normal"/>
    <w:link w:val="SubttuloCar"/>
    <w:uiPriority w:val="11"/>
    <w:qFormat/>
    <w:rsid w:val="00F1086C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1086C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table" w:styleId="Tablaconcuadrcula">
    <w:name w:val="Table Grid"/>
    <w:basedOn w:val="Tablanormal"/>
    <w:uiPriority w:val="39"/>
    <w:rsid w:val="00F1086C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F1086C"/>
    <w:rPr>
      <w:b/>
      <w:bCs/>
    </w:rPr>
  </w:style>
  <w:style w:type="paragraph" w:styleId="Ttulo">
    <w:name w:val="Title"/>
    <w:basedOn w:val="Normal"/>
    <w:next w:val="Normal"/>
    <w:link w:val="TtuloCar"/>
    <w:uiPriority w:val="10"/>
    <w:qFormat/>
    <w:rsid w:val="00F1086C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F1086C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1Car">
    <w:name w:val="Título 1 Car"/>
    <w:basedOn w:val="Fuentedeprrafopredeter"/>
    <w:link w:val="Ttulo1"/>
    <w:uiPriority w:val="9"/>
    <w:rsid w:val="00F1086C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086C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1086C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086C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086C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086C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styleId="Ttulodellibro">
    <w:name w:val="Book Title"/>
    <w:basedOn w:val="Fuentedeprrafopredeter"/>
    <w:uiPriority w:val="33"/>
    <w:qFormat/>
    <w:rsid w:val="00F1086C"/>
    <w:rPr>
      <w:b/>
      <w:bCs/>
      <w:smallCaps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1086C"/>
    <w:pPr>
      <w:outlineLvl w:val="9"/>
    </w:pPr>
  </w:style>
  <w:style w:type="paragraph" w:customStyle="1" w:styleId="Ant-parrafoNormal">
    <w:name w:val="Ant-parrafoNormal"/>
    <w:basedOn w:val="Normal"/>
    <w:qFormat/>
    <w:rsid w:val="007C08E3"/>
    <w:pPr>
      <w:spacing w:after="0" w:line="360" w:lineRule="auto"/>
      <w:ind w:firstLine="284"/>
      <w:jc w:val="both"/>
    </w:pPr>
    <w:rPr>
      <w:rFonts w:ascii="Arial" w:eastAsia="Times New Roman" w:hAnsi="Arial" w:cs="Times New Roman"/>
      <w:sz w:val="24"/>
      <w:szCs w:val="24"/>
      <w:lang w:eastAsia="es-ES"/>
    </w:rPr>
  </w:style>
  <w:style w:type="paragraph" w:customStyle="1" w:styleId="normalant">
    <w:name w:val="normal ant"/>
    <w:basedOn w:val="NormalWeb"/>
    <w:qFormat/>
    <w:rsid w:val="00030F39"/>
    <w:pPr>
      <w:jc w:val="both"/>
    </w:pPr>
    <w:rPr>
      <w:rFonts w:ascii="Trebuchet MS" w:hAnsi="Trebuchet MS"/>
    </w:rPr>
  </w:style>
  <w:style w:type="paragraph" w:styleId="Textoindependiente">
    <w:name w:val="Body Text"/>
    <w:basedOn w:val="Normal"/>
    <w:link w:val="TextoindependienteCar"/>
    <w:uiPriority w:val="99"/>
    <w:unhideWhenUsed/>
    <w:rsid w:val="00B402AE"/>
    <w:pPr>
      <w:jc w:val="both"/>
    </w:pPr>
    <w:rPr>
      <w:sz w:val="28"/>
      <w:szCs w:val="28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402AE"/>
    <w:rPr>
      <w:rFonts w:eastAsiaTheme="minorEastAsia"/>
      <w:sz w:val="28"/>
      <w:szCs w:val="28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55635C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55635C"/>
    <w:rPr>
      <w:rFonts w:eastAsiaTheme="minorEastAsia"/>
    </w:rPr>
  </w:style>
  <w:style w:type="character" w:styleId="Textodelmarcadordeposicin">
    <w:name w:val="Placeholder Text"/>
    <w:basedOn w:val="Fuentedeprrafopredeter"/>
    <w:uiPriority w:val="99"/>
    <w:semiHidden/>
    <w:rsid w:val="002A7BFA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0A72"/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0A72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1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11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1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13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420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2020-10-22T15:45:00Z</dcterms:created>
  <dcterms:modified xsi:type="dcterms:W3CDTF">2020-10-22T16:04:00Z</dcterms:modified>
</cp:coreProperties>
</file>