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86EED" w14:textId="77777777" w:rsidR="00A9619C" w:rsidRPr="00EF0BA6" w:rsidRDefault="00A9619C" w:rsidP="000443AD">
      <w:pPr>
        <w:pStyle w:val="normalant"/>
        <w:spacing w:before="0" w:beforeAutospacing="0" w:after="160" w:afterAutospacing="0" w:line="259" w:lineRule="auto"/>
        <w:rPr>
          <w:rFonts w:asciiTheme="minorHAnsi" w:eastAsiaTheme="minorEastAsia" w:hAnsiTheme="minorHAnsi" w:cstheme="minorBidi"/>
          <w:lang w:eastAsia="en-US"/>
        </w:rPr>
      </w:pPr>
      <w:r w:rsidRPr="00EF0BA6">
        <w:rPr>
          <w:rFonts w:asciiTheme="minorHAnsi" w:eastAsiaTheme="minorEastAsia" w:hAnsiTheme="minorHAnsi" w:cstheme="minorBidi"/>
          <w:lang w:eastAsia="en-US"/>
        </w:rPr>
        <w:t>Nota de prensa</w:t>
      </w:r>
    </w:p>
    <w:p w14:paraId="435F8545" w14:textId="210D408D" w:rsidR="0039640A" w:rsidRPr="00EF0BA6" w:rsidRDefault="005C64A2" w:rsidP="00B402AE">
      <w:pPr>
        <w:pStyle w:val="Textoindependiente"/>
      </w:pPr>
      <w:r>
        <w:t>El Tribunal Superior de Cataluña anula la licencia a la cementera Lafargue</w:t>
      </w:r>
    </w:p>
    <w:p w14:paraId="4A03D1B2" w14:textId="0AF3D1C8" w:rsidR="00941550" w:rsidRPr="00141515" w:rsidRDefault="00EA64A5" w:rsidP="00F3181D">
      <w:pPr>
        <w:pStyle w:val="normalant"/>
        <w:spacing w:before="0" w:beforeAutospacing="0" w:after="160" w:afterAutospacing="0" w:line="259" w:lineRule="auto"/>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w:t>
      </w:r>
      <w:r w:rsidR="005C64A2" w:rsidRPr="00141515">
        <w:rPr>
          <w:rFonts w:asciiTheme="minorHAnsi" w:eastAsiaTheme="minorEastAsia" w:hAnsiTheme="minorHAnsi" w:cstheme="minorBidi"/>
          <w:lang w:eastAsia="en-US"/>
        </w:rPr>
        <w:t xml:space="preserve">Para </w:t>
      </w:r>
      <w:r w:rsidR="00941550" w:rsidRPr="00141515">
        <w:rPr>
          <w:rFonts w:asciiTheme="minorHAnsi" w:eastAsiaTheme="minorEastAsia" w:hAnsiTheme="minorHAnsi" w:cstheme="minorBidi"/>
          <w:lang w:eastAsia="en-US"/>
        </w:rPr>
        <w:t>Bierzo Aire Limpio</w:t>
      </w:r>
      <w:r w:rsidR="005C64A2" w:rsidRPr="00141515">
        <w:rPr>
          <w:rFonts w:asciiTheme="minorHAnsi" w:eastAsiaTheme="minorEastAsia" w:hAnsiTheme="minorHAnsi" w:cstheme="minorBidi"/>
          <w:lang w:eastAsia="en-US"/>
        </w:rPr>
        <w:t>, “la sentencia desmonta las mentiras de las cementeras y muestra el camino a seguir”</w:t>
      </w:r>
    </w:p>
    <w:p w14:paraId="05970610" w14:textId="18484E0B" w:rsidR="00141515" w:rsidRPr="00141515" w:rsidRDefault="00AD6D23" w:rsidP="00141515">
      <w:pPr>
        <w:pStyle w:val="normalant"/>
        <w:spacing w:before="0" w:beforeAutospacing="0" w:after="0" w:afterAutospacing="0"/>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w:t>
      </w:r>
      <w:r w:rsidR="00941550" w:rsidRPr="00141515">
        <w:rPr>
          <w:rFonts w:asciiTheme="minorHAnsi" w:eastAsiaTheme="minorEastAsia" w:hAnsiTheme="minorHAnsi" w:cstheme="minorBidi"/>
          <w:lang w:eastAsia="en-US"/>
        </w:rPr>
        <w:t>“</w:t>
      </w:r>
      <w:r w:rsidR="00141515" w:rsidRPr="00141515">
        <w:rPr>
          <w:rFonts w:asciiTheme="minorHAnsi" w:eastAsiaTheme="minorEastAsia" w:hAnsiTheme="minorHAnsi" w:cstheme="minorBidi"/>
          <w:lang w:eastAsia="en-US"/>
        </w:rPr>
        <w:t>Sigue</w:t>
      </w:r>
      <w:r w:rsidR="00141515" w:rsidRPr="00141515">
        <w:rPr>
          <w:rFonts w:asciiTheme="minorHAnsi" w:eastAsiaTheme="minorEastAsia" w:hAnsiTheme="minorHAnsi" w:cstheme="minorBidi"/>
          <w:lang w:eastAsia="en-US"/>
        </w:rPr>
        <w:t xml:space="preserve"> vigente la </w:t>
      </w:r>
      <w:r w:rsidR="00141515" w:rsidRPr="00141515">
        <w:rPr>
          <w:rFonts w:asciiTheme="minorHAnsi" w:eastAsiaTheme="minorEastAsia" w:hAnsiTheme="minorHAnsi" w:cstheme="minorBidi"/>
          <w:i/>
          <w:iCs/>
          <w:lang w:eastAsia="en-US"/>
        </w:rPr>
        <w:t>Declaración de Ponferrada contra la Incineración</w:t>
      </w:r>
      <w:r w:rsidR="00141515" w:rsidRPr="00141515">
        <w:rPr>
          <w:rFonts w:asciiTheme="minorHAnsi" w:eastAsiaTheme="minorEastAsia" w:hAnsiTheme="minorHAnsi" w:cstheme="minorBidi"/>
          <w:lang w:eastAsia="en-US"/>
        </w:rPr>
        <w:t xml:space="preserve">, firmada </w:t>
      </w:r>
      <w:r w:rsidR="00141515" w:rsidRPr="00141515">
        <w:rPr>
          <w:rFonts w:asciiTheme="minorHAnsi" w:eastAsiaTheme="minorEastAsia" w:hAnsiTheme="minorHAnsi" w:cstheme="minorBidi"/>
          <w:lang w:eastAsia="en-US"/>
        </w:rPr>
        <w:t xml:space="preserve">en 2018 </w:t>
      </w:r>
      <w:r w:rsidR="00141515" w:rsidRPr="00141515">
        <w:rPr>
          <w:rFonts w:asciiTheme="minorHAnsi" w:eastAsiaTheme="minorEastAsia" w:hAnsiTheme="minorHAnsi" w:cstheme="minorBidi"/>
          <w:lang w:eastAsia="en-US"/>
        </w:rPr>
        <w:t>por más de cien colectivos ciudadanos como el de Montcada”</w:t>
      </w:r>
    </w:p>
    <w:p w14:paraId="5607B2BC" w14:textId="77777777" w:rsidR="00B701BA" w:rsidRPr="00141515" w:rsidRDefault="00B701BA" w:rsidP="000443AD">
      <w:pPr>
        <w:pStyle w:val="normalant"/>
        <w:spacing w:before="0" w:beforeAutospacing="0" w:after="0" w:afterAutospacing="0" w:line="259" w:lineRule="auto"/>
        <w:rPr>
          <w:rFonts w:asciiTheme="minorHAnsi" w:eastAsiaTheme="minorEastAsia" w:hAnsiTheme="minorHAnsi" w:cstheme="minorBidi"/>
          <w:lang w:eastAsia="en-US"/>
        </w:rPr>
      </w:pPr>
    </w:p>
    <w:p w14:paraId="75754126" w14:textId="775067E0" w:rsidR="001B7B7E" w:rsidRPr="00141515" w:rsidRDefault="003E21C4" w:rsidP="00B701BA">
      <w:pPr>
        <w:pStyle w:val="normalant"/>
        <w:spacing w:before="0" w:beforeAutospacing="0" w:after="0" w:afterAutospacing="0"/>
        <w:rPr>
          <w:rFonts w:asciiTheme="minorHAnsi" w:eastAsiaTheme="minorEastAsia" w:hAnsiTheme="minorHAnsi" w:cstheme="minorBidi"/>
          <w:lang w:eastAsia="en-US"/>
        </w:rPr>
      </w:pPr>
      <w:r w:rsidRPr="00141515">
        <w:rPr>
          <w:rFonts w:asciiTheme="minorHAnsi" w:eastAsiaTheme="minorEastAsia" w:hAnsiTheme="minorHAnsi" w:cstheme="minorBidi"/>
          <w:smallCaps/>
          <w:lang w:eastAsia="en-US"/>
        </w:rPr>
        <w:t xml:space="preserve">Ponferrada, </w:t>
      </w:r>
      <w:r w:rsidR="001B7B7E" w:rsidRPr="00141515">
        <w:rPr>
          <w:rFonts w:asciiTheme="minorHAnsi" w:eastAsiaTheme="minorEastAsia" w:hAnsiTheme="minorHAnsi" w:cstheme="minorBidi"/>
          <w:smallCaps/>
          <w:lang w:eastAsia="en-US"/>
        </w:rPr>
        <w:t>2</w:t>
      </w:r>
      <w:r w:rsidR="00941550" w:rsidRPr="00141515">
        <w:rPr>
          <w:rFonts w:asciiTheme="minorHAnsi" w:eastAsiaTheme="minorEastAsia" w:hAnsiTheme="minorHAnsi" w:cstheme="minorBidi"/>
          <w:smallCaps/>
          <w:lang w:eastAsia="en-US"/>
        </w:rPr>
        <w:t>8</w:t>
      </w:r>
      <w:r w:rsidRPr="00141515">
        <w:rPr>
          <w:rFonts w:asciiTheme="minorHAnsi" w:eastAsiaTheme="minorEastAsia" w:hAnsiTheme="minorHAnsi" w:cstheme="minorBidi"/>
          <w:smallCaps/>
          <w:lang w:eastAsia="en-US"/>
        </w:rPr>
        <w:t xml:space="preserve">, </w:t>
      </w:r>
      <w:r w:rsidR="001B7B7E" w:rsidRPr="00141515">
        <w:rPr>
          <w:rFonts w:asciiTheme="minorHAnsi" w:eastAsiaTheme="minorEastAsia" w:hAnsiTheme="minorHAnsi" w:cstheme="minorBidi"/>
          <w:smallCaps/>
          <w:lang w:eastAsia="en-US"/>
        </w:rPr>
        <w:t>X</w:t>
      </w:r>
      <w:r w:rsidRPr="00141515">
        <w:rPr>
          <w:rFonts w:asciiTheme="minorHAnsi" w:eastAsiaTheme="minorEastAsia" w:hAnsiTheme="minorHAnsi" w:cstheme="minorBidi"/>
          <w:smallCaps/>
          <w:lang w:eastAsia="en-US"/>
        </w:rPr>
        <w:t>.-</w:t>
      </w:r>
      <w:r w:rsidRPr="00141515">
        <w:rPr>
          <w:rFonts w:asciiTheme="minorHAnsi" w:eastAsiaTheme="minorEastAsia" w:hAnsiTheme="minorHAnsi" w:cstheme="minorBidi"/>
          <w:lang w:eastAsia="en-US"/>
        </w:rPr>
        <w:t xml:space="preserve"> </w:t>
      </w:r>
      <w:r w:rsidR="001B7B7E" w:rsidRPr="00141515">
        <w:rPr>
          <w:rFonts w:asciiTheme="minorHAnsi" w:eastAsiaTheme="minorEastAsia" w:hAnsiTheme="minorHAnsi" w:cstheme="minorBidi"/>
          <w:lang w:eastAsia="en-US"/>
        </w:rPr>
        <w:t>El Tribunal Superior de Justicia de Cataluña acaba de dictar una importante sentencia contra la cementera Lafargue de Montcada, que podrían tener consecuencias judiciales en El Bierzo, donde las sucesivas modificaciones promovidas por Cementos Cosmos en Toral de los Vados están bajo la lupa judicial.</w:t>
      </w:r>
    </w:p>
    <w:p w14:paraId="3DA3A46E" w14:textId="4CCE9A17" w:rsidR="001B7B7E" w:rsidRPr="00141515" w:rsidRDefault="001B7B7E" w:rsidP="00C17C27">
      <w:pPr>
        <w:pStyle w:val="normalant"/>
        <w:spacing w:before="0" w:beforeAutospacing="0" w:after="0" w:afterAutospacing="0"/>
        <w:ind w:firstLine="709"/>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 xml:space="preserve">Para la ong Bierzo Aire Limpio, </w:t>
      </w:r>
      <w:r w:rsidR="00941550" w:rsidRPr="00141515">
        <w:rPr>
          <w:rFonts w:asciiTheme="minorHAnsi" w:eastAsiaTheme="minorEastAsia" w:hAnsiTheme="minorHAnsi" w:cstheme="minorBidi"/>
          <w:lang w:eastAsia="en-US"/>
        </w:rPr>
        <w:t>“</w:t>
      </w:r>
      <w:r w:rsidRPr="00141515">
        <w:rPr>
          <w:rFonts w:asciiTheme="minorHAnsi" w:eastAsiaTheme="minorEastAsia" w:hAnsiTheme="minorHAnsi" w:cstheme="minorBidi"/>
          <w:lang w:eastAsia="en-US"/>
        </w:rPr>
        <w:t xml:space="preserve">la sentencia 4.124 dictada por la Sala de lo Contencioso del TSJC </w:t>
      </w:r>
      <w:r w:rsidR="005C64A2" w:rsidRPr="00141515">
        <w:rPr>
          <w:rFonts w:asciiTheme="minorHAnsi" w:eastAsiaTheme="minorEastAsia" w:hAnsiTheme="minorHAnsi" w:cstheme="minorBidi"/>
          <w:lang w:eastAsia="en-US"/>
        </w:rPr>
        <w:t xml:space="preserve">anula la autorización ambiental concedida por la Generalitat a Lafargue en 2018, y </w:t>
      </w:r>
      <w:r w:rsidRPr="00141515">
        <w:rPr>
          <w:rFonts w:asciiTheme="minorHAnsi" w:eastAsiaTheme="minorEastAsia" w:hAnsiTheme="minorHAnsi" w:cstheme="minorBidi"/>
          <w:lang w:eastAsia="en-US"/>
        </w:rPr>
        <w:t>desnuda las continuas trampas, irregularidades y oscurantismo de las multinacionales cementeras, como Lafargue o Votorantim. Están acostumbradas a saltarse los trámites de información pública, a simular falsas Evaluaciones de Impacto Ambiental; o a colar como «cambio no sustancial» lo que son verdaderos cambios lesivos y contaminantes”.</w:t>
      </w:r>
    </w:p>
    <w:p w14:paraId="22E09354" w14:textId="4B26A9DE" w:rsidR="00DB2A85" w:rsidRPr="00141515" w:rsidRDefault="00DB2A85" w:rsidP="00C17C27">
      <w:pPr>
        <w:pStyle w:val="normalant"/>
        <w:spacing w:before="0" w:beforeAutospacing="0" w:after="0" w:afterAutospacing="0"/>
        <w:ind w:firstLine="709"/>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“Lo que intentó Lafargue en Montcada, y acaba de tumbar el Tribunal Superior catalán</w:t>
      </w:r>
      <w:r w:rsidR="00F71ED1" w:rsidRPr="00141515">
        <w:rPr>
          <w:rFonts w:asciiTheme="minorHAnsi" w:eastAsiaTheme="minorEastAsia" w:hAnsiTheme="minorHAnsi" w:cstheme="minorBidi"/>
          <w:lang w:eastAsia="en-US"/>
        </w:rPr>
        <w:t>,</w:t>
      </w:r>
      <w:r w:rsidRPr="00141515">
        <w:rPr>
          <w:rFonts w:asciiTheme="minorHAnsi" w:eastAsiaTheme="minorEastAsia" w:hAnsiTheme="minorHAnsi" w:cstheme="minorBidi"/>
          <w:lang w:eastAsia="en-US"/>
        </w:rPr>
        <w:t xml:space="preserve"> </w:t>
      </w:r>
      <w:r w:rsidR="00F71ED1" w:rsidRPr="00141515">
        <w:rPr>
          <w:rFonts w:asciiTheme="minorHAnsi" w:eastAsiaTheme="minorEastAsia" w:hAnsiTheme="minorHAnsi" w:cstheme="minorBidi"/>
          <w:lang w:eastAsia="en-US"/>
        </w:rPr>
        <w:t xml:space="preserve">gracias a una demanda de la </w:t>
      </w:r>
      <w:r w:rsidR="00F71ED1" w:rsidRPr="00141515">
        <w:t>Agrupació de Veïns del Barri de Can Sant Joan</w:t>
      </w:r>
      <w:r w:rsidRPr="00141515">
        <w:rPr>
          <w:rFonts w:asciiTheme="minorHAnsi" w:eastAsiaTheme="minorEastAsia" w:hAnsiTheme="minorHAnsi" w:cstheme="minorBidi"/>
          <w:lang w:eastAsia="en-US"/>
        </w:rPr>
        <w:t>, es lo mismo que Cementos Cosmos intenta en Toral queriendo blanquear la quema de neumáticos, de orujillo o de cenizas</w:t>
      </w:r>
      <w:r w:rsidR="00F71ED1" w:rsidRPr="00141515">
        <w:rPr>
          <w:rFonts w:asciiTheme="minorHAnsi" w:eastAsiaTheme="minorEastAsia" w:hAnsiTheme="minorHAnsi" w:cstheme="minorBidi"/>
          <w:lang w:eastAsia="en-US"/>
        </w:rPr>
        <w:t xml:space="preserve"> —afirma Bierzo Aire Limpio—</w:t>
      </w:r>
      <w:r w:rsidRPr="00141515">
        <w:rPr>
          <w:rFonts w:asciiTheme="minorHAnsi" w:eastAsiaTheme="minorEastAsia" w:hAnsiTheme="minorHAnsi" w:cstheme="minorBidi"/>
          <w:lang w:eastAsia="en-US"/>
        </w:rPr>
        <w:t>. Van introduciendo diversos cambios (con la tolerancia de una Consejería de Fomento cómplice y entregada a la multinacional) y al final, donde había una cementera, tendremos una incineradora de basuras”.</w:t>
      </w:r>
    </w:p>
    <w:p w14:paraId="2F26B38A" w14:textId="73BDA572" w:rsidR="00DB2A85" w:rsidRPr="00141515" w:rsidRDefault="00DB2A85" w:rsidP="00C17C27">
      <w:pPr>
        <w:pStyle w:val="normalant"/>
        <w:spacing w:before="0" w:beforeAutospacing="0" w:after="0" w:afterAutospacing="0"/>
        <w:ind w:firstLine="709"/>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En el caso de Montcada, Lafargue Cementos S.A. consiguió en 2008 una primera autorización, anulada por el mismo Tribunal en 2013, “por no haber sometido a información pública la evaluación ambiental”. En 2015</w:t>
      </w:r>
      <w:r w:rsidR="005C64A2" w:rsidRPr="00141515">
        <w:rPr>
          <w:rFonts w:asciiTheme="minorHAnsi" w:eastAsiaTheme="minorEastAsia" w:hAnsiTheme="minorHAnsi" w:cstheme="minorBidi"/>
          <w:lang w:eastAsia="en-US"/>
        </w:rPr>
        <w:t xml:space="preserve"> y 2017</w:t>
      </w:r>
      <w:r w:rsidRPr="00141515">
        <w:rPr>
          <w:rFonts w:asciiTheme="minorHAnsi" w:eastAsiaTheme="minorEastAsia" w:hAnsiTheme="minorHAnsi" w:cstheme="minorBidi"/>
          <w:lang w:eastAsia="en-US"/>
        </w:rPr>
        <w:t xml:space="preserve">, la Generalitat </w:t>
      </w:r>
      <w:r w:rsidR="005C64A2" w:rsidRPr="00141515">
        <w:rPr>
          <w:rFonts w:asciiTheme="minorHAnsi" w:eastAsiaTheme="minorEastAsia" w:hAnsiTheme="minorHAnsi" w:cstheme="minorBidi"/>
          <w:lang w:eastAsia="en-US"/>
        </w:rPr>
        <w:t>renov</w:t>
      </w:r>
      <w:r w:rsidRPr="00141515">
        <w:rPr>
          <w:rFonts w:asciiTheme="minorHAnsi" w:eastAsiaTheme="minorEastAsia" w:hAnsiTheme="minorHAnsi" w:cstheme="minorBidi"/>
          <w:lang w:eastAsia="en-US"/>
        </w:rPr>
        <w:t xml:space="preserve">ó </w:t>
      </w:r>
      <w:r w:rsidR="005C64A2" w:rsidRPr="00141515">
        <w:rPr>
          <w:rFonts w:asciiTheme="minorHAnsi" w:eastAsiaTheme="minorEastAsia" w:hAnsiTheme="minorHAnsi" w:cstheme="minorBidi"/>
          <w:lang w:eastAsia="en-US"/>
        </w:rPr>
        <w:t>l</w:t>
      </w:r>
      <w:r w:rsidRPr="00141515">
        <w:rPr>
          <w:rFonts w:asciiTheme="minorHAnsi" w:eastAsiaTheme="minorEastAsia" w:hAnsiTheme="minorHAnsi" w:cstheme="minorBidi"/>
          <w:lang w:eastAsia="en-US"/>
        </w:rPr>
        <w:t>a</w:t>
      </w:r>
      <w:r w:rsidR="005C64A2" w:rsidRPr="00141515">
        <w:rPr>
          <w:rFonts w:asciiTheme="minorHAnsi" w:eastAsiaTheme="minorEastAsia" w:hAnsiTheme="minorHAnsi" w:cstheme="minorBidi"/>
          <w:lang w:eastAsia="en-US"/>
        </w:rPr>
        <w:t xml:space="preserve"> autorización a</w:t>
      </w:r>
      <w:r w:rsidRPr="00141515">
        <w:rPr>
          <w:rFonts w:asciiTheme="minorHAnsi" w:eastAsiaTheme="minorEastAsia" w:hAnsiTheme="minorHAnsi" w:cstheme="minorBidi"/>
          <w:lang w:eastAsia="en-US"/>
        </w:rPr>
        <w:t xml:space="preserve"> Lafargue</w:t>
      </w:r>
      <w:r w:rsidR="005C64A2" w:rsidRPr="00141515">
        <w:rPr>
          <w:rFonts w:asciiTheme="minorHAnsi" w:eastAsiaTheme="minorEastAsia" w:hAnsiTheme="minorHAnsi" w:cstheme="minorBidi"/>
          <w:lang w:eastAsia="en-US"/>
        </w:rPr>
        <w:t xml:space="preserve">, </w:t>
      </w:r>
      <w:r w:rsidRPr="00141515">
        <w:rPr>
          <w:rFonts w:asciiTheme="minorHAnsi" w:eastAsiaTheme="minorEastAsia" w:hAnsiTheme="minorHAnsi" w:cstheme="minorBidi"/>
          <w:lang w:eastAsia="en-US"/>
        </w:rPr>
        <w:t>y ambas</w:t>
      </w:r>
      <w:r w:rsidR="005C64A2" w:rsidRPr="00141515">
        <w:rPr>
          <w:rFonts w:asciiTheme="minorHAnsi" w:eastAsiaTheme="minorEastAsia" w:hAnsiTheme="minorHAnsi" w:cstheme="minorBidi"/>
          <w:lang w:eastAsia="en-US"/>
        </w:rPr>
        <w:t xml:space="preserve"> fueron</w:t>
      </w:r>
      <w:r w:rsidRPr="00141515">
        <w:rPr>
          <w:rFonts w:asciiTheme="minorHAnsi" w:eastAsiaTheme="minorEastAsia" w:hAnsiTheme="minorHAnsi" w:cstheme="minorBidi"/>
          <w:lang w:eastAsia="en-US"/>
        </w:rPr>
        <w:t xml:space="preserve"> anuladas sucesivamente por los Tribunales</w:t>
      </w:r>
      <w:r w:rsidR="005C64A2" w:rsidRPr="00141515">
        <w:rPr>
          <w:rFonts w:asciiTheme="minorHAnsi" w:eastAsiaTheme="minorEastAsia" w:hAnsiTheme="minorHAnsi" w:cstheme="minorBidi"/>
          <w:lang w:eastAsia="en-US"/>
        </w:rPr>
        <w:t>, como ahora se anula la autorización ambiental de 2018.</w:t>
      </w:r>
      <w:r w:rsidRPr="00141515">
        <w:rPr>
          <w:rFonts w:asciiTheme="minorHAnsi" w:eastAsiaTheme="minorEastAsia" w:hAnsiTheme="minorHAnsi" w:cstheme="minorBidi"/>
          <w:lang w:eastAsia="en-US"/>
        </w:rPr>
        <w:t xml:space="preserve"> </w:t>
      </w:r>
    </w:p>
    <w:p w14:paraId="516C0A76" w14:textId="77777777" w:rsidR="00DB2A85" w:rsidRPr="00141515" w:rsidRDefault="00DB2A85" w:rsidP="00C17C27">
      <w:pPr>
        <w:pStyle w:val="normalant"/>
        <w:spacing w:before="0" w:beforeAutospacing="0" w:after="0" w:afterAutospacing="0"/>
        <w:ind w:firstLine="709"/>
        <w:rPr>
          <w:rFonts w:asciiTheme="minorHAnsi" w:eastAsiaTheme="minorEastAsia" w:hAnsiTheme="minorHAnsi" w:cstheme="minorBidi"/>
          <w:lang w:eastAsia="en-US"/>
        </w:rPr>
      </w:pPr>
    </w:p>
    <w:p w14:paraId="30087086" w14:textId="2155C18A" w:rsidR="00DB2A85" w:rsidRPr="00141515" w:rsidRDefault="00DB2A85" w:rsidP="00DB2A85">
      <w:pPr>
        <w:pStyle w:val="normalant"/>
        <w:spacing w:before="0" w:beforeAutospacing="0" w:after="0" w:afterAutospacing="0"/>
        <w:jc w:val="center"/>
        <w:rPr>
          <w:rFonts w:asciiTheme="minorHAnsi" w:eastAsiaTheme="minorEastAsia" w:hAnsiTheme="minorHAnsi" w:cstheme="minorBidi"/>
          <w:b/>
          <w:bCs/>
          <w:lang w:eastAsia="en-US"/>
        </w:rPr>
      </w:pPr>
      <w:r w:rsidRPr="00141515">
        <w:rPr>
          <w:rFonts w:asciiTheme="minorHAnsi" w:eastAsiaTheme="minorEastAsia" w:hAnsiTheme="minorHAnsi" w:cstheme="minorBidi"/>
          <w:b/>
          <w:bCs/>
          <w:lang w:eastAsia="en-US"/>
        </w:rPr>
        <w:t>Falsos cambios no sustanciales</w:t>
      </w:r>
    </w:p>
    <w:p w14:paraId="1562D7A2" w14:textId="01C13886" w:rsidR="00141515" w:rsidRPr="00141515" w:rsidRDefault="005C64A2" w:rsidP="00F71ED1">
      <w:pPr>
        <w:pStyle w:val="normalant"/>
        <w:spacing w:before="0" w:beforeAutospacing="0" w:after="0" w:afterAutospacing="0"/>
        <w:ind w:firstLine="709"/>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En medio</w:t>
      </w:r>
      <w:r w:rsidRPr="00141515">
        <w:rPr>
          <w:rFonts w:asciiTheme="minorHAnsi" w:eastAsiaTheme="minorEastAsia" w:hAnsiTheme="minorHAnsi" w:cstheme="minorBidi"/>
          <w:lang w:eastAsia="en-US"/>
        </w:rPr>
        <w:t xml:space="preserve"> —explica Aire Limpio en un comunicado—</w:t>
      </w:r>
      <w:r w:rsidRPr="00141515">
        <w:rPr>
          <w:rFonts w:asciiTheme="minorHAnsi" w:eastAsiaTheme="minorEastAsia" w:hAnsiTheme="minorHAnsi" w:cstheme="minorBidi"/>
          <w:lang w:eastAsia="en-US"/>
        </w:rPr>
        <w:t>,</w:t>
      </w:r>
      <w:r w:rsidRPr="00141515">
        <w:rPr>
          <w:rFonts w:asciiTheme="minorHAnsi" w:eastAsiaTheme="minorEastAsia" w:hAnsiTheme="minorHAnsi" w:cstheme="minorBidi"/>
          <w:lang w:eastAsia="en-US"/>
        </w:rPr>
        <w:t xml:space="preserve"> </w:t>
      </w:r>
      <w:r w:rsidRPr="00141515">
        <w:rPr>
          <w:rFonts w:asciiTheme="minorHAnsi" w:eastAsiaTheme="minorEastAsia" w:hAnsiTheme="minorHAnsi" w:cstheme="minorBidi"/>
          <w:lang w:eastAsia="en-US"/>
        </w:rPr>
        <w:t xml:space="preserve">Lafargue </w:t>
      </w:r>
      <w:r w:rsidRPr="00141515">
        <w:rPr>
          <w:rFonts w:asciiTheme="minorHAnsi" w:eastAsiaTheme="minorEastAsia" w:hAnsiTheme="minorHAnsi" w:cstheme="minorBidi"/>
          <w:lang w:eastAsia="en-US"/>
        </w:rPr>
        <w:t>siguió</w:t>
      </w:r>
      <w:r w:rsidRPr="00141515">
        <w:rPr>
          <w:rFonts w:asciiTheme="minorHAnsi" w:eastAsiaTheme="minorEastAsia" w:hAnsiTheme="minorHAnsi" w:cstheme="minorBidi"/>
          <w:lang w:eastAsia="en-US"/>
        </w:rPr>
        <w:t xml:space="preserve"> introduciendo hasta ocho “cambios no sustanciales” </w:t>
      </w:r>
      <w:r w:rsidR="00141515" w:rsidRPr="00141515">
        <w:rPr>
          <w:rFonts w:asciiTheme="minorHAnsi" w:eastAsiaTheme="minorEastAsia" w:hAnsiTheme="minorHAnsi" w:cstheme="minorBidi"/>
          <w:lang w:eastAsia="en-US"/>
        </w:rPr>
        <w:t>ilegales,</w:t>
      </w:r>
      <w:r w:rsidRPr="00141515">
        <w:rPr>
          <w:rFonts w:asciiTheme="minorHAnsi" w:eastAsiaTheme="minorEastAsia" w:hAnsiTheme="minorHAnsi" w:cstheme="minorBidi"/>
          <w:lang w:eastAsia="en-US"/>
        </w:rPr>
        <w:t xml:space="preserve"> por </w:t>
      </w:r>
      <w:r w:rsidR="00141515" w:rsidRPr="00141515">
        <w:rPr>
          <w:rFonts w:asciiTheme="minorHAnsi" w:eastAsiaTheme="minorEastAsia" w:hAnsiTheme="minorHAnsi" w:cstheme="minorBidi"/>
          <w:lang w:eastAsia="en-US"/>
        </w:rPr>
        <w:t>carecer</w:t>
      </w:r>
      <w:r w:rsidRPr="00141515">
        <w:rPr>
          <w:rFonts w:asciiTheme="minorHAnsi" w:eastAsiaTheme="minorEastAsia" w:hAnsiTheme="minorHAnsi" w:cstheme="minorBidi"/>
          <w:lang w:eastAsia="en-US"/>
        </w:rPr>
        <w:t xml:space="preserve"> la cementera de licencia.</w:t>
      </w:r>
      <w:r w:rsidR="00141515" w:rsidRPr="00141515">
        <w:rPr>
          <w:rFonts w:asciiTheme="minorHAnsi" w:eastAsiaTheme="minorEastAsia" w:hAnsiTheme="minorHAnsi" w:cstheme="minorBidi"/>
          <w:lang w:eastAsia="en-US"/>
        </w:rPr>
        <w:t xml:space="preserve"> </w:t>
      </w:r>
    </w:p>
    <w:p w14:paraId="0D80CD6F" w14:textId="6D8EABD4" w:rsidR="00DB2A85" w:rsidRPr="00141515" w:rsidRDefault="00F71ED1" w:rsidP="00F71ED1">
      <w:pPr>
        <w:pStyle w:val="normalant"/>
        <w:spacing w:before="0" w:beforeAutospacing="0" w:after="0" w:afterAutospacing="0"/>
        <w:ind w:firstLine="709"/>
        <w:rPr>
          <w:rFonts w:asciiTheme="minorHAnsi" w:eastAsiaTheme="minorEastAsia" w:hAnsiTheme="minorHAnsi" w:cstheme="minorBidi"/>
          <w:lang w:eastAsia="en-US"/>
        </w:rPr>
      </w:pPr>
      <w:r w:rsidRPr="00141515">
        <w:t>Así, entre esos cambios, Lafargue incorporó “</w:t>
      </w:r>
      <w:r w:rsidR="00DB2A85" w:rsidRPr="00141515">
        <w:t>un edificio para almacén, oficinas y laboratorio de pruebas</w:t>
      </w:r>
      <w:r w:rsidRPr="00141515">
        <w:t xml:space="preserve">; </w:t>
      </w:r>
      <w:r w:rsidR="00DB2A85" w:rsidRPr="00141515">
        <w:t>un sistema reductor de NOx basado en el método de reducción selectiva no catalítica</w:t>
      </w:r>
      <w:r w:rsidRPr="00141515">
        <w:t xml:space="preserve">; una modificación puntual </w:t>
      </w:r>
      <w:r w:rsidR="00DB2A85" w:rsidRPr="00141515">
        <w:t>para una actividad de fabricación de cemento</w:t>
      </w:r>
      <w:r w:rsidRPr="00141515">
        <w:t xml:space="preserve">; </w:t>
      </w:r>
      <w:r w:rsidR="00DB2A85" w:rsidRPr="00141515">
        <w:t>la sustitución de parte del combustible fósil utilizado (coque de petróleo) por CDR, con código CER 191210, hasta 30.000t.</w:t>
      </w:r>
      <w:r w:rsidRPr="00141515">
        <w:t xml:space="preserve">; </w:t>
      </w:r>
      <w:r w:rsidR="00DB2A85" w:rsidRPr="00141515">
        <w:t>la instalación de un filtro de mangas para la carga del clínker a granel</w:t>
      </w:r>
      <w:r w:rsidRPr="00141515">
        <w:t xml:space="preserve">; </w:t>
      </w:r>
      <w:r w:rsidR="00DB2A85" w:rsidRPr="00141515">
        <w:lastRenderedPageBreak/>
        <w:t>la actualización de las cantidades y tipos de residuos producidos</w:t>
      </w:r>
      <w:r w:rsidRPr="00141515">
        <w:t xml:space="preserve">; o </w:t>
      </w:r>
      <w:r w:rsidR="00DB2A85" w:rsidRPr="00141515">
        <w:rPr>
          <w:rFonts w:asciiTheme="minorHAnsi" w:eastAsiaTheme="minorEastAsia" w:hAnsiTheme="minorHAnsi" w:cstheme="minorBidi"/>
          <w:lang w:eastAsia="en-US"/>
        </w:rPr>
        <w:t>la instalación de nuevos filtros en la zona de prehomogeneización, actualización y descripción de focos de emisión de la instalación y actualización de las cantidades y tipos de residuos generados en la fábrica</w:t>
      </w:r>
      <w:r w:rsidRPr="00141515">
        <w:rPr>
          <w:rFonts w:asciiTheme="minorHAnsi" w:eastAsiaTheme="minorEastAsia" w:hAnsiTheme="minorHAnsi" w:cstheme="minorBidi"/>
          <w:lang w:eastAsia="en-US"/>
        </w:rPr>
        <w:t>”</w:t>
      </w:r>
      <w:r w:rsidR="00DB2A85" w:rsidRPr="00141515">
        <w:rPr>
          <w:rFonts w:asciiTheme="minorHAnsi" w:eastAsiaTheme="minorEastAsia" w:hAnsiTheme="minorHAnsi" w:cstheme="minorBidi"/>
          <w:lang w:eastAsia="en-US"/>
        </w:rPr>
        <w:t>.</w:t>
      </w:r>
    </w:p>
    <w:p w14:paraId="5F27F2C0" w14:textId="77777777" w:rsidR="00A60D30" w:rsidRPr="00141515" w:rsidRDefault="00F71ED1" w:rsidP="00F71ED1">
      <w:pPr>
        <w:pStyle w:val="normalant"/>
        <w:spacing w:before="0" w:beforeAutospacing="0" w:after="0" w:afterAutospacing="0"/>
        <w:ind w:firstLine="709"/>
        <w:rPr>
          <w:rFonts w:asciiTheme="minorHAnsi" w:eastAsiaTheme="minorEastAsia" w:hAnsiTheme="minorHAnsi" w:cstheme="minorBidi"/>
          <w:lang w:eastAsia="en-US"/>
        </w:rPr>
      </w:pPr>
      <w:r w:rsidRPr="00141515">
        <w:rPr>
          <w:rFonts w:asciiTheme="minorHAnsi" w:eastAsiaTheme="minorEastAsia" w:hAnsiTheme="minorHAnsi" w:cstheme="minorBidi"/>
          <w:lang w:eastAsia="en-US"/>
        </w:rPr>
        <w:t xml:space="preserve">“En resumen —afirma Bierzo Aire Limpio—, colando como no sustanciales cambios que requieren una Evaluación Integral, la cementera se transforma en una potente incineradora, y </w:t>
      </w:r>
      <w:r w:rsidR="00A60D30" w:rsidRPr="00141515">
        <w:rPr>
          <w:rFonts w:asciiTheme="minorHAnsi" w:eastAsiaTheme="minorEastAsia" w:hAnsiTheme="minorHAnsi" w:cstheme="minorBidi"/>
          <w:lang w:eastAsia="en-US"/>
        </w:rPr>
        <w:t>é</w:t>
      </w:r>
      <w:r w:rsidRPr="00141515">
        <w:rPr>
          <w:rFonts w:asciiTheme="minorHAnsi" w:eastAsiaTheme="minorEastAsia" w:hAnsiTheme="minorHAnsi" w:cstheme="minorBidi"/>
          <w:lang w:eastAsia="en-US"/>
        </w:rPr>
        <w:t>sta es la conducta contra la que se han movilizado los vecinos de Montcada</w:t>
      </w:r>
      <w:r w:rsidR="00A60D30" w:rsidRPr="00141515">
        <w:rPr>
          <w:rFonts w:asciiTheme="minorHAnsi" w:eastAsiaTheme="minorEastAsia" w:hAnsiTheme="minorHAnsi" w:cstheme="minorBidi"/>
          <w:lang w:eastAsia="en-US"/>
        </w:rPr>
        <w:t>”.</w:t>
      </w:r>
    </w:p>
    <w:p w14:paraId="2B54F01C" w14:textId="7DBF9F52" w:rsidR="004F458C" w:rsidRPr="00141515" w:rsidRDefault="00A60D30" w:rsidP="00F71ED1">
      <w:pPr>
        <w:pStyle w:val="normalant"/>
        <w:spacing w:before="0" w:beforeAutospacing="0" w:after="0" w:afterAutospacing="0"/>
        <w:ind w:firstLine="709"/>
        <w:rPr>
          <w:rFonts w:asciiTheme="minorHAnsi" w:eastAsiaTheme="minorEastAsia" w:hAnsiTheme="minorHAnsi" w:cstheme="minorBidi"/>
          <w:lang w:eastAsia="en-US"/>
        </w:rPr>
      </w:pPr>
      <w:r w:rsidRPr="00141515">
        <w:t>La Agrupació de Veïns del Barri de Can Sant Joan</w:t>
      </w:r>
      <w:r w:rsidRPr="00141515">
        <w:rPr>
          <w:rFonts w:asciiTheme="minorHAnsi" w:eastAsiaTheme="minorEastAsia" w:hAnsiTheme="minorHAnsi" w:cstheme="minorBidi"/>
          <w:lang w:eastAsia="en-US"/>
        </w:rPr>
        <w:t xml:space="preserve"> forma parte de la Coordinadora Estatal contra la Incineración, y participó en las Jornadas contra la Incineración y por la #Basura Cero, organizadas por Bierzo Aire Limpio en Ponferrada en 201</w:t>
      </w:r>
      <w:r w:rsidR="004F458C" w:rsidRPr="00141515">
        <w:rPr>
          <w:rFonts w:asciiTheme="minorHAnsi" w:eastAsiaTheme="minorEastAsia" w:hAnsiTheme="minorHAnsi" w:cstheme="minorBidi"/>
          <w:lang w:eastAsia="en-US"/>
        </w:rPr>
        <w:t>8</w:t>
      </w:r>
      <w:r w:rsidRPr="00141515">
        <w:rPr>
          <w:rFonts w:asciiTheme="minorHAnsi" w:eastAsiaTheme="minorEastAsia" w:hAnsiTheme="minorHAnsi" w:cstheme="minorBidi"/>
          <w:lang w:eastAsia="en-US"/>
        </w:rPr>
        <w:t xml:space="preserve">. </w:t>
      </w:r>
      <w:r w:rsidR="004F458C" w:rsidRPr="00141515">
        <w:rPr>
          <w:rFonts w:asciiTheme="minorHAnsi" w:eastAsiaTheme="minorEastAsia" w:hAnsiTheme="minorHAnsi" w:cstheme="minorBidi"/>
          <w:lang w:eastAsia="en-US"/>
        </w:rPr>
        <w:t>L</w:t>
      </w:r>
      <w:r w:rsidRPr="00141515">
        <w:rPr>
          <w:rFonts w:asciiTheme="minorHAnsi" w:eastAsiaTheme="minorEastAsia" w:hAnsiTheme="minorHAnsi" w:cstheme="minorBidi"/>
          <w:lang w:eastAsia="en-US"/>
        </w:rPr>
        <w:t>a ong berciana</w:t>
      </w:r>
      <w:r w:rsidR="004F458C" w:rsidRPr="00141515">
        <w:rPr>
          <w:rFonts w:asciiTheme="minorHAnsi" w:eastAsiaTheme="minorEastAsia" w:hAnsiTheme="minorHAnsi" w:cstheme="minorBidi"/>
          <w:lang w:eastAsia="en-US"/>
        </w:rPr>
        <w:t xml:space="preserve"> “felicita públicamente a los compañeros y compañeras de Montcada, cuyo ejemplo nos muestra el camino a seguir en nuestra lucha contra la prepotencia de las multinacionales cementeras</w:t>
      </w:r>
      <w:r w:rsidR="00141515" w:rsidRPr="00141515">
        <w:rPr>
          <w:rFonts w:asciiTheme="minorHAnsi" w:eastAsiaTheme="minorEastAsia" w:hAnsiTheme="minorHAnsi" w:cstheme="minorBidi"/>
          <w:lang w:eastAsia="en-US"/>
        </w:rPr>
        <w:t xml:space="preserve">. Esta sentencia envía a la Administración, a los Tribunales de Justicia y a toda la sociedad el mensaje de que está plenamente vigente, y cada día más necesaria, la </w:t>
      </w:r>
      <w:r w:rsidR="00141515" w:rsidRPr="00141515">
        <w:rPr>
          <w:rFonts w:asciiTheme="minorHAnsi" w:eastAsiaTheme="minorEastAsia" w:hAnsiTheme="minorHAnsi" w:cstheme="minorBidi"/>
          <w:i/>
          <w:iCs/>
          <w:lang w:eastAsia="en-US"/>
        </w:rPr>
        <w:t>Declaración de Ponferrada contra la Incineración y por el Residuo Cero</w:t>
      </w:r>
      <w:r w:rsidR="00141515" w:rsidRPr="00141515">
        <w:rPr>
          <w:rFonts w:asciiTheme="minorHAnsi" w:eastAsiaTheme="minorEastAsia" w:hAnsiTheme="minorHAnsi" w:cstheme="minorBidi"/>
          <w:lang w:eastAsia="en-US"/>
        </w:rPr>
        <w:t>, firmada por más de cien colectivos ciudadanos como el de Montcada</w:t>
      </w:r>
      <w:r w:rsidR="004F458C" w:rsidRPr="00141515">
        <w:rPr>
          <w:rFonts w:asciiTheme="minorHAnsi" w:eastAsiaTheme="minorEastAsia" w:hAnsiTheme="minorHAnsi" w:cstheme="minorBidi"/>
          <w:lang w:eastAsia="en-US"/>
        </w:rPr>
        <w:t>”.</w:t>
      </w:r>
    </w:p>
    <w:p w14:paraId="659081AA" w14:textId="77777777" w:rsidR="00DB2A85" w:rsidRPr="00141515" w:rsidRDefault="00DB2A85" w:rsidP="00DB2A85">
      <w:pPr>
        <w:pStyle w:val="normalant"/>
        <w:spacing w:before="0" w:beforeAutospacing="0" w:after="0" w:afterAutospacing="0"/>
        <w:ind w:firstLine="709"/>
        <w:rPr>
          <w:rFonts w:asciiTheme="minorHAnsi" w:eastAsiaTheme="minorEastAsia" w:hAnsiTheme="minorHAnsi" w:cstheme="minorBidi"/>
          <w:lang w:eastAsia="en-US"/>
        </w:rPr>
      </w:pPr>
    </w:p>
    <w:p w14:paraId="576E0C02" w14:textId="77777777" w:rsidR="00DB2A85" w:rsidRPr="00141515" w:rsidRDefault="00DB2A85" w:rsidP="00C17C27">
      <w:pPr>
        <w:pStyle w:val="normalant"/>
        <w:spacing w:before="0" w:beforeAutospacing="0" w:after="0" w:afterAutospacing="0"/>
        <w:ind w:firstLine="709"/>
        <w:rPr>
          <w:rFonts w:asciiTheme="minorHAnsi" w:eastAsiaTheme="minorEastAsia" w:hAnsiTheme="minorHAnsi" w:cstheme="minorBidi"/>
          <w:lang w:eastAsia="en-US"/>
        </w:rPr>
      </w:pPr>
    </w:p>
    <w:p w14:paraId="64333444" w14:textId="2A0DC91F" w:rsidR="00D12ED2" w:rsidRPr="00141515" w:rsidRDefault="00D12ED2" w:rsidP="00D12ED2">
      <w:pPr>
        <w:pStyle w:val="normalant"/>
        <w:spacing w:before="0" w:beforeAutospacing="0" w:after="0" w:afterAutospacing="0"/>
        <w:ind w:firstLine="709"/>
        <w:jc w:val="right"/>
        <w:rPr>
          <w:lang w:eastAsia="en-US"/>
        </w:rPr>
      </w:pPr>
      <w:r w:rsidRPr="00141515">
        <w:rPr>
          <w:lang w:eastAsia="en-US"/>
        </w:rPr>
        <w:t>(con ruego de publicación)</w:t>
      </w:r>
    </w:p>
    <w:sectPr w:rsidR="00D12ED2" w:rsidRPr="00141515" w:rsidSect="00736444">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00D89" w14:textId="77777777" w:rsidR="00940D79" w:rsidRDefault="00940D79" w:rsidP="00DC0A72">
      <w:pPr>
        <w:spacing w:after="0" w:line="240" w:lineRule="auto"/>
      </w:pPr>
      <w:r>
        <w:separator/>
      </w:r>
    </w:p>
  </w:endnote>
  <w:endnote w:type="continuationSeparator" w:id="0">
    <w:p w14:paraId="6C50BA20" w14:textId="77777777" w:rsidR="00940D79" w:rsidRDefault="00940D79" w:rsidP="00DC0A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68F2D4" w14:textId="77777777" w:rsidR="00940D79" w:rsidRDefault="00940D79" w:rsidP="00DC0A72">
      <w:pPr>
        <w:spacing w:after="0" w:line="240" w:lineRule="auto"/>
      </w:pPr>
      <w:r>
        <w:separator/>
      </w:r>
    </w:p>
  </w:footnote>
  <w:footnote w:type="continuationSeparator" w:id="0">
    <w:p w14:paraId="6E74E9F3" w14:textId="77777777" w:rsidR="00940D79" w:rsidRDefault="00940D79" w:rsidP="00DC0A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40166"/>
    <w:multiLevelType w:val="multilevel"/>
    <w:tmpl w:val="C0BC6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242E5D"/>
    <w:multiLevelType w:val="multilevel"/>
    <w:tmpl w:val="A0BE0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74015"/>
    <w:multiLevelType w:val="multilevel"/>
    <w:tmpl w:val="2FEA7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0790F"/>
    <w:multiLevelType w:val="multilevel"/>
    <w:tmpl w:val="F60A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CD3DF9"/>
    <w:multiLevelType w:val="multilevel"/>
    <w:tmpl w:val="60E46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CD7684"/>
    <w:multiLevelType w:val="multilevel"/>
    <w:tmpl w:val="D3D64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D11C47"/>
    <w:multiLevelType w:val="multilevel"/>
    <w:tmpl w:val="1AF6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3A61D4"/>
    <w:multiLevelType w:val="multilevel"/>
    <w:tmpl w:val="86E2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C52AC3"/>
    <w:multiLevelType w:val="multilevel"/>
    <w:tmpl w:val="6EC4F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F52E98"/>
    <w:multiLevelType w:val="multilevel"/>
    <w:tmpl w:val="6606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E3E51"/>
    <w:multiLevelType w:val="multilevel"/>
    <w:tmpl w:val="F7F0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AB6687B"/>
    <w:multiLevelType w:val="multilevel"/>
    <w:tmpl w:val="0E122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8"/>
  </w:num>
  <w:num w:numId="4">
    <w:abstractNumId w:val="4"/>
  </w:num>
  <w:num w:numId="5">
    <w:abstractNumId w:val="7"/>
  </w:num>
  <w:num w:numId="6">
    <w:abstractNumId w:val="0"/>
  </w:num>
  <w:num w:numId="7">
    <w:abstractNumId w:val="6"/>
  </w:num>
  <w:num w:numId="8">
    <w:abstractNumId w:val="11"/>
  </w:num>
  <w:num w:numId="9">
    <w:abstractNumId w:val="10"/>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drawingGridHorizontalSpacing w:val="11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9AF"/>
    <w:rsid w:val="00006930"/>
    <w:rsid w:val="0000726D"/>
    <w:rsid w:val="00030F39"/>
    <w:rsid w:val="000443AD"/>
    <w:rsid w:val="0007553A"/>
    <w:rsid w:val="00091FAD"/>
    <w:rsid w:val="000C5E9D"/>
    <w:rsid w:val="00115050"/>
    <w:rsid w:val="00141515"/>
    <w:rsid w:val="00160663"/>
    <w:rsid w:val="001B7B7E"/>
    <w:rsid w:val="001E424E"/>
    <w:rsid w:val="001F6B1E"/>
    <w:rsid w:val="0021339E"/>
    <w:rsid w:val="00226FF7"/>
    <w:rsid w:val="002A7BFA"/>
    <w:rsid w:val="002D4E22"/>
    <w:rsid w:val="00341EBC"/>
    <w:rsid w:val="00346DEA"/>
    <w:rsid w:val="0039640A"/>
    <w:rsid w:val="003B62EE"/>
    <w:rsid w:val="003C2B45"/>
    <w:rsid w:val="003E21C4"/>
    <w:rsid w:val="00471D49"/>
    <w:rsid w:val="00491802"/>
    <w:rsid w:val="004A2AD8"/>
    <w:rsid w:val="004F458C"/>
    <w:rsid w:val="00513E01"/>
    <w:rsid w:val="00517456"/>
    <w:rsid w:val="00521D88"/>
    <w:rsid w:val="00526369"/>
    <w:rsid w:val="0055635C"/>
    <w:rsid w:val="0056200B"/>
    <w:rsid w:val="005729AF"/>
    <w:rsid w:val="005B69C0"/>
    <w:rsid w:val="005C64A2"/>
    <w:rsid w:val="00606E73"/>
    <w:rsid w:val="006122AF"/>
    <w:rsid w:val="00622026"/>
    <w:rsid w:val="006632C6"/>
    <w:rsid w:val="00681F3B"/>
    <w:rsid w:val="006C724D"/>
    <w:rsid w:val="006F5526"/>
    <w:rsid w:val="00736444"/>
    <w:rsid w:val="007B1803"/>
    <w:rsid w:val="007C08E3"/>
    <w:rsid w:val="007C2033"/>
    <w:rsid w:val="007D7D7E"/>
    <w:rsid w:val="007E4E48"/>
    <w:rsid w:val="00817027"/>
    <w:rsid w:val="008565D8"/>
    <w:rsid w:val="00897E57"/>
    <w:rsid w:val="008C0D26"/>
    <w:rsid w:val="00940CF0"/>
    <w:rsid w:val="00940D79"/>
    <w:rsid w:val="00941550"/>
    <w:rsid w:val="009429BB"/>
    <w:rsid w:val="00957D10"/>
    <w:rsid w:val="009628AF"/>
    <w:rsid w:val="00966164"/>
    <w:rsid w:val="00A337C6"/>
    <w:rsid w:val="00A60D30"/>
    <w:rsid w:val="00A9619C"/>
    <w:rsid w:val="00AD6D23"/>
    <w:rsid w:val="00B402AE"/>
    <w:rsid w:val="00B701BA"/>
    <w:rsid w:val="00B77FE0"/>
    <w:rsid w:val="00B81094"/>
    <w:rsid w:val="00BF5CFC"/>
    <w:rsid w:val="00C17C27"/>
    <w:rsid w:val="00C30A1C"/>
    <w:rsid w:val="00CC2FF5"/>
    <w:rsid w:val="00CC3644"/>
    <w:rsid w:val="00CD07AF"/>
    <w:rsid w:val="00D10315"/>
    <w:rsid w:val="00D12ED2"/>
    <w:rsid w:val="00D65D66"/>
    <w:rsid w:val="00DB2A85"/>
    <w:rsid w:val="00DC0A72"/>
    <w:rsid w:val="00DD5B53"/>
    <w:rsid w:val="00E2660F"/>
    <w:rsid w:val="00E54DF0"/>
    <w:rsid w:val="00EA64A5"/>
    <w:rsid w:val="00EB6FD9"/>
    <w:rsid w:val="00EB7A48"/>
    <w:rsid w:val="00EC14A2"/>
    <w:rsid w:val="00EF0BA6"/>
    <w:rsid w:val="00F1086C"/>
    <w:rsid w:val="00F13A60"/>
    <w:rsid w:val="00F3181D"/>
    <w:rsid w:val="00F71ED1"/>
    <w:rsid w:val="00F801ED"/>
    <w:rsid w:val="00FC2D1E"/>
    <w:rsid w:val="00FE33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33E98C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NTARTIDA-normal"/>
    <w:qFormat/>
    <w:rsid w:val="00F1086C"/>
    <w:rPr>
      <w:rFonts w:eastAsiaTheme="minorEastAsia"/>
      <w:lang w:val="es-ES_tradnl"/>
    </w:rPr>
  </w:style>
  <w:style w:type="paragraph" w:styleId="Ttulo1">
    <w:name w:val="heading 1"/>
    <w:basedOn w:val="Normal"/>
    <w:next w:val="Normal"/>
    <w:link w:val="Ttulo1Car"/>
    <w:uiPriority w:val="9"/>
    <w:qFormat/>
    <w:rsid w:val="00F1086C"/>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tulo2">
    <w:name w:val="heading 2"/>
    <w:basedOn w:val="Normal"/>
    <w:next w:val="Normal"/>
    <w:link w:val="Ttulo2Car"/>
    <w:uiPriority w:val="9"/>
    <w:unhideWhenUsed/>
    <w:qFormat/>
    <w:rsid w:val="00F1086C"/>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unhideWhenUsed/>
    <w:qFormat/>
    <w:rsid w:val="00F1086C"/>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tulo4">
    <w:name w:val="heading 4"/>
    <w:basedOn w:val="Normal"/>
    <w:next w:val="Normal"/>
    <w:link w:val="Ttulo4Car"/>
    <w:uiPriority w:val="9"/>
    <w:unhideWhenUsed/>
    <w:qFormat/>
    <w:rsid w:val="00F1086C"/>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tulo5">
    <w:name w:val="heading 5"/>
    <w:basedOn w:val="Normal"/>
    <w:next w:val="Normal"/>
    <w:link w:val="Ttulo5Car"/>
    <w:uiPriority w:val="9"/>
    <w:semiHidden/>
    <w:unhideWhenUsed/>
    <w:qFormat/>
    <w:rsid w:val="00F1086C"/>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tulo6">
    <w:name w:val="heading 6"/>
    <w:basedOn w:val="Normal"/>
    <w:next w:val="Normal"/>
    <w:link w:val="Ttulo6Car"/>
    <w:uiPriority w:val="9"/>
    <w:semiHidden/>
    <w:unhideWhenUsed/>
    <w:qFormat/>
    <w:rsid w:val="00F1086C"/>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tulo7">
    <w:name w:val="heading 7"/>
    <w:basedOn w:val="Normal"/>
    <w:next w:val="Normal"/>
    <w:link w:val="Ttulo7Car"/>
    <w:uiPriority w:val="9"/>
    <w:semiHidden/>
    <w:unhideWhenUsed/>
    <w:qFormat/>
    <w:rsid w:val="00F1086C"/>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tulo8">
    <w:name w:val="heading 8"/>
    <w:basedOn w:val="Normal"/>
    <w:next w:val="Normal"/>
    <w:link w:val="Ttulo8Car"/>
    <w:uiPriority w:val="9"/>
    <w:semiHidden/>
    <w:unhideWhenUsed/>
    <w:qFormat/>
    <w:rsid w:val="00F1086C"/>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tulo9">
    <w:name w:val="heading 9"/>
    <w:basedOn w:val="Normal"/>
    <w:next w:val="Normal"/>
    <w:link w:val="Ttulo9Car"/>
    <w:uiPriority w:val="9"/>
    <w:semiHidden/>
    <w:unhideWhenUsed/>
    <w:qFormat/>
    <w:rsid w:val="00F1086C"/>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tcora-prrafo">
    <w:name w:val="Bitácora-párrafo"/>
    <w:basedOn w:val="NormalWeb"/>
    <w:qFormat/>
    <w:rsid w:val="00F801ED"/>
    <w:pPr>
      <w:spacing w:before="0" w:beforeAutospacing="0" w:after="0" w:afterAutospacing="0"/>
      <w:ind w:firstLine="284"/>
      <w:jc w:val="both"/>
    </w:pPr>
    <w:rPr>
      <w:rFonts w:ascii="Trebuchet MS" w:hAnsi="Trebuchet MS"/>
      <w:sz w:val="22"/>
    </w:rPr>
  </w:style>
  <w:style w:type="paragraph" w:styleId="NormalWeb">
    <w:name w:val="Normal (Web)"/>
    <w:basedOn w:val="Normal"/>
    <w:uiPriority w:val="99"/>
    <w:unhideWhenUsed/>
    <w:rsid w:val="00F1086C"/>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bitacora-fecha">
    <w:name w:val="bitacora-fecha"/>
    <w:basedOn w:val="Bitcora-prrafo"/>
    <w:qFormat/>
    <w:rsid w:val="00115050"/>
    <w:pPr>
      <w:spacing w:before="60" w:after="60"/>
      <w:ind w:firstLine="0"/>
    </w:pPr>
    <w:rPr>
      <w:color w:val="0057A6"/>
      <w:sz w:val="20"/>
    </w:rPr>
  </w:style>
  <w:style w:type="paragraph" w:styleId="Cita">
    <w:name w:val="Quote"/>
    <w:basedOn w:val="Normal"/>
    <w:next w:val="Normal"/>
    <w:link w:val="CitaCar"/>
    <w:uiPriority w:val="29"/>
    <w:qFormat/>
    <w:rsid w:val="00F1086C"/>
    <w:pPr>
      <w:spacing w:before="120" w:after="120"/>
      <w:ind w:left="720"/>
    </w:pPr>
    <w:rPr>
      <w:color w:val="44546A" w:themeColor="text2"/>
      <w:sz w:val="24"/>
      <w:szCs w:val="24"/>
    </w:rPr>
  </w:style>
  <w:style w:type="character" w:customStyle="1" w:styleId="CitaCar">
    <w:name w:val="Cita Car"/>
    <w:basedOn w:val="Fuentedeprrafopredeter"/>
    <w:link w:val="Cita"/>
    <w:uiPriority w:val="29"/>
    <w:rsid w:val="00F1086C"/>
    <w:rPr>
      <w:rFonts w:eastAsiaTheme="minorEastAsia"/>
      <w:color w:val="44546A" w:themeColor="text2"/>
      <w:sz w:val="24"/>
      <w:szCs w:val="24"/>
    </w:rPr>
  </w:style>
  <w:style w:type="paragraph" w:styleId="Citadestacada">
    <w:name w:val="Intense Quote"/>
    <w:basedOn w:val="Normal"/>
    <w:next w:val="Normal"/>
    <w:link w:val="CitadestacadaCar"/>
    <w:uiPriority w:val="30"/>
    <w:qFormat/>
    <w:rsid w:val="00F1086C"/>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destacadaCar">
    <w:name w:val="Cita destacada Car"/>
    <w:basedOn w:val="Fuentedeprrafopredeter"/>
    <w:link w:val="Citadestacada"/>
    <w:uiPriority w:val="30"/>
    <w:rsid w:val="00F1086C"/>
    <w:rPr>
      <w:rFonts w:asciiTheme="majorHAnsi" w:eastAsiaTheme="majorEastAsia" w:hAnsiTheme="majorHAnsi" w:cstheme="majorBidi"/>
      <w:color w:val="44546A" w:themeColor="text2"/>
      <w:spacing w:val="-6"/>
      <w:sz w:val="32"/>
      <w:szCs w:val="32"/>
    </w:rPr>
  </w:style>
  <w:style w:type="paragraph" w:styleId="Descripcin">
    <w:name w:val="caption"/>
    <w:basedOn w:val="Normal"/>
    <w:next w:val="Normal"/>
    <w:uiPriority w:val="35"/>
    <w:semiHidden/>
    <w:unhideWhenUsed/>
    <w:qFormat/>
    <w:rsid w:val="00F1086C"/>
    <w:pPr>
      <w:spacing w:line="240" w:lineRule="auto"/>
    </w:pPr>
    <w:rPr>
      <w:b/>
      <w:bCs/>
      <w:smallCaps/>
      <w:color w:val="44546A" w:themeColor="text2"/>
    </w:rPr>
  </w:style>
  <w:style w:type="character" w:styleId="nfasis">
    <w:name w:val="Emphasis"/>
    <w:basedOn w:val="Fuentedeprrafopredeter"/>
    <w:uiPriority w:val="20"/>
    <w:qFormat/>
    <w:rsid w:val="00F1086C"/>
    <w:rPr>
      <w:i/>
      <w:iCs/>
    </w:rPr>
  </w:style>
  <w:style w:type="character" w:styleId="nfasisintenso">
    <w:name w:val="Intense Emphasis"/>
    <w:basedOn w:val="Fuentedeprrafopredeter"/>
    <w:uiPriority w:val="21"/>
    <w:qFormat/>
    <w:rsid w:val="00F1086C"/>
    <w:rPr>
      <w:b/>
      <w:bCs/>
      <w:i/>
      <w:iCs/>
    </w:rPr>
  </w:style>
  <w:style w:type="character" w:styleId="nfasissutil">
    <w:name w:val="Subtle Emphasis"/>
    <w:basedOn w:val="Fuentedeprrafopredeter"/>
    <w:uiPriority w:val="19"/>
    <w:qFormat/>
    <w:rsid w:val="00F1086C"/>
    <w:rPr>
      <w:i/>
      <w:iCs/>
      <w:color w:val="595959" w:themeColor="text1" w:themeTint="A6"/>
    </w:rPr>
  </w:style>
  <w:style w:type="character" w:styleId="Hipervnculo">
    <w:name w:val="Hyperlink"/>
    <w:basedOn w:val="Fuentedeprrafopredeter"/>
    <w:uiPriority w:val="99"/>
    <w:unhideWhenUsed/>
    <w:rsid w:val="00F1086C"/>
    <w:rPr>
      <w:color w:val="0000FF"/>
      <w:u w:val="single"/>
    </w:rPr>
  </w:style>
  <w:style w:type="paragraph" w:styleId="Prrafodelista">
    <w:name w:val="List Paragraph"/>
    <w:basedOn w:val="Normal"/>
    <w:uiPriority w:val="34"/>
    <w:qFormat/>
    <w:rsid w:val="00F1086C"/>
    <w:pPr>
      <w:ind w:left="720"/>
      <w:contextualSpacing/>
    </w:pPr>
  </w:style>
  <w:style w:type="character" w:styleId="Referenciaintensa">
    <w:name w:val="Intense Reference"/>
    <w:basedOn w:val="Fuentedeprrafopredeter"/>
    <w:uiPriority w:val="32"/>
    <w:qFormat/>
    <w:rsid w:val="00F1086C"/>
    <w:rPr>
      <w:b/>
      <w:bCs/>
      <w:smallCaps/>
      <w:color w:val="44546A" w:themeColor="text2"/>
      <w:u w:val="single"/>
    </w:rPr>
  </w:style>
  <w:style w:type="character" w:styleId="Referenciasutil">
    <w:name w:val="Subtle Reference"/>
    <w:basedOn w:val="Fuentedeprrafopredeter"/>
    <w:uiPriority w:val="31"/>
    <w:qFormat/>
    <w:rsid w:val="00F1086C"/>
    <w:rPr>
      <w:smallCaps/>
      <w:color w:val="595959" w:themeColor="text1" w:themeTint="A6"/>
      <w:u w:val="none" w:color="7F7F7F" w:themeColor="text1" w:themeTint="80"/>
      <w:bdr w:val="none" w:sz="0" w:space="0" w:color="auto"/>
    </w:rPr>
  </w:style>
  <w:style w:type="paragraph" w:styleId="Sinespaciado">
    <w:name w:val="No Spacing"/>
    <w:uiPriority w:val="1"/>
    <w:qFormat/>
    <w:rsid w:val="00F1086C"/>
    <w:pPr>
      <w:spacing w:after="0" w:line="240" w:lineRule="auto"/>
    </w:pPr>
    <w:rPr>
      <w:rFonts w:eastAsiaTheme="minorEastAsia"/>
    </w:rPr>
  </w:style>
  <w:style w:type="paragraph" w:styleId="Subttulo">
    <w:name w:val="Subtitle"/>
    <w:basedOn w:val="Normal"/>
    <w:next w:val="Normal"/>
    <w:link w:val="SubttuloCar"/>
    <w:uiPriority w:val="11"/>
    <w:qFormat/>
    <w:rsid w:val="00F1086C"/>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tuloCar">
    <w:name w:val="Subtítulo Car"/>
    <w:basedOn w:val="Fuentedeprrafopredeter"/>
    <w:link w:val="Subttulo"/>
    <w:uiPriority w:val="11"/>
    <w:rsid w:val="00F1086C"/>
    <w:rPr>
      <w:rFonts w:asciiTheme="majorHAnsi" w:eastAsiaTheme="majorEastAsia" w:hAnsiTheme="majorHAnsi" w:cstheme="majorBidi"/>
      <w:color w:val="4472C4" w:themeColor="accent1"/>
      <w:sz w:val="28"/>
      <w:szCs w:val="28"/>
    </w:rPr>
  </w:style>
  <w:style w:type="table" w:styleId="Tablaconcuadrcula">
    <w:name w:val="Table Grid"/>
    <w:basedOn w:val="Tablanormal"/>
    <w:uiPriority w:val="39"/>
    <w:rsid w:val="00F1086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F1086C"/>
    <w:rPr>
      <w:b/>
      <w:bCs/>
    </w:rPr>
  </w:style>
  <w:style w:type="paragraph" w:styleId="Ttulo">
    <w:name w:val="Title"/>
    <w:basedOn w:val="Normal"/>
    <w:next w:val="Normal"/>
    <w:link w:val="TtuloCar"/>
    <w:uiPriority w:val="10"/>
    <w:qFormat/>
    <w:rsid w:val="00F1086C"/>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tuloCar">
    <w:name w:val="Título Car"/>
    <w:basedOn w:val="Fuentedeprrafopredeter"/>
    <w:link w:val="Ttulo"/>
    <w:uiPriority w:val="10"/>
    <w:rsid w:val="00F1086C"/>
    <w:rPr>
      <w:rFonts w:asciiTheme="majorHAnsi" w:eastAsiaTheme="majorEastAsia" w:hAnsiTheme="majorHAnsi" w:cstheme="majorBidi"/>
      <w:caps/>
      <w:color w:val="44546A" w:themeColor="text2"/>
      <w:spacing w:val="-15"/>
      <w:sz w:val="72"/>
      <w:szCs w:val="72"/>
    </w:rPr>
  </w:style>
  <w:style w:type="character" w:customStyle="1" w:styleId="Ttulo1Car">
    <w:name w:val="Título 1 Car"/>
    <w:basedOn w:val="Fuentedeprrafopredeter"/>
    <w:link w:val="Ttulo1"/>
    <w:uiPriority w:val="9"/>
    <w:rsid w:val="00F1086C"/>
    <w:rPr>
      <w:rFonts w:asciiTheme="majorHAnsi" w:eastAsiaTheme="majorEastAsia" w:hAnsiTheme="majorHAnsi" w:cstheme="majorBidi"/>
      <w:color w:val="1F3864" w:themeColor="accent1" w:themeShade="80"/>
      <w:sz w:val="36"/>
      <w:szCs w:val="36"/>
    </w:rPr>
  </w:style>
  <w:style w:type="character" w:customStyle="1" w:styleId="Ttulo2Car">
    <w:name w:val="Título 2 Car"/>
    <w:basedOn w:val="Fuentedeprrafopredeter"/>
    <w:link w:val="Ttulo2"/>
    <w:uiPriority w:val="9"/>
    <w:rsid w:val="00F1086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rsid w:val="00F1086C"/>
    <w:rPr>
      <w:rFonts w:asciiTheme="majorHAnsi" w:eastAsiaTheme="majorEastAsia" w:hAnsiTheme="majorHAnsi" w:cstheme="majorBidi"/>
      <w:color w:val="2F5496" w:themeColor="accent1" w:themeShade="BF"/>
      <w:sz w:val="28"/>
      <w:szCs w:val="28"/>
    </w:rPr>
  </w:style>
  <w:style w:type="character" w:customStyle="1" w:styleId="Ttulo4Car">
    <w:name w:val="Título 4 Car"/>
    <w:basedOn w:val="Fuentedeprrafopredeter"/>
    <w:link w:val="Ttulo4"/>
    <w:uiPriority w:val="9"/>
    <w:rsid w:val="00F1086C"/>
    <w:rPr>
      <w:rFonts w:asciiTheme="majorHAnsi" w:eastAsiaTheme="majorEastAsia" w:hAnsiTheme="majorHAnsi" w:cstheme="majorBidi"/>
      <w:color w:val="2F5496" w:themeColor="accent1" w:themeShade="BF"/>
      <w:sz w:val="24"/>
      <w:szCs w:val="24"/>
    </w:rPr>
  </w:style>
  <w:style w:type="character" w:customStyle="1" w:styleId="Ttulo5Car">
    <w:name w:val="Título 5 Car"/>
    <w:basedOn w:val="Fuentedeprrafopredeter"/>
    <w:link w:val="Ttulo5"/>
    <w:uiPriority w:val="9"/>
    <w:semiHidden/>
    <w:rsid w:val="00F1086C"/>
    <w:rPr>
      <w:rFonts w:asciiTheme="majorHAnsi" w:eastAsiaTheme="majorEastAsia" w:hAnsiTheme="majorHAnsi" w:cstheme="majorBidi"/>
      <w:caps/>
      <w:color w:val="2F5496" w:themeColor="accent1" w:themeShade="BF"/>
    </w:rPr>
  </w:style>
  <w:style w:type="character" w:customStyle="1" w:styleId="Ttulo6Car">
    <w:name w:val="Título 6 Car"/>
    <w:basedOn w:val="Fuentedeprrafopredeter"/>
    <w:link w:val="Ttulo6"/>
    <w:uiPriority w:val="9"/>
    <w:semiHidden/>
    <w:rsid w:val="00F1086C"/>
    <w:rPr>
      <w:rFonts w:asciiTheme="majorHAnsi" w:eastAsiaTheme="majorEastAsia" w:hAnsiTheme="majorHAnsi" w:cstheme="majorBidi"/>
      <w:i/>
      <w:iCs/>
      <w:caps/>
      <w:color w:val="1F3864" w:themeColor="accent1" w:themeShade="80"/>
    </w:rPr>
  </w:style>
  <w:style w:type="character" w:customStyle="1" w:styleId="Ttulo7Car">
    <w:name w:val="Título 7 Car"/>
    <w:basedOn w:val="Fuentedeprrafopredeter"/>
    <w:link w:val="Ttulo7"/>
    <w:uiPriority w:val="9"/>
    <w:semiHidden/>
    <w:rsid w:val="00F1086C"/>
    <w:rPr>
      <w:rFonts w:asciiTheme="majorHAnsi" w:eastAsiaTheme="majorEastAsia" w:hAnsiTheme="majorHAnsi" w:cstheme="majorBidi"/>
      <w:b/>
      <w:bCs/>
      <w:color w:val="1F3864" w:themeColor="accent1" w:themeShade="80"/>
    </w:rPr>
  </w:style>
  <w:style w:type="character" w:customStyle="1" w:styleId="Ttulo8Car">
    <w:name w:val="Título 8 Car"/>
    <w:basedOn w:val="Fuentedeprrafopredeter"/>
    <w:link w:val="Ttulo8"/>
    <w:uiPriority w:val="9"/>
    <w:semiHidden/>
    <w:rsid w:val="00F1086C"/>
    <w:rPr>
      <w:rFonts w:asciiTheme="majorHAnsi" w:eastAsiaTheme="majorEastAsia" w:hAnsiTheme="majorHAnsi" w:cstheme="majorBidi"/>
      <w:b/>
      <w:bCs/>
      <w:i/>
      <w:iCs/>
      <w:color w:val="1F3864" w:themeColor="accent1" w:themeShade="80"/>
    </w:rPr>
  </w:style>
  <w:style w:type="character" w:customStyle="1" w:styleId="Ttulo9Car">
    <w:name w:val="Título 9 Car"/>
    <w:basedOn w:val="Fuentedeprrafopredeter"/>
    <w:link w:val="Ttulo9"/>
    <w:uiPriority w:val="9"/>
    <w:semiHidden/>
    <w:rsid w:val="00F1086C"/>
    <w:rPr>
      <w:rFonts w:asciiTheme="majorHAnsi" w:eastAsiaTheme="majorEastAsia" w:hAnsiTheme="majorHAnsi" w:cstheme="majorBidi"/>
      <w:i/>
      <w:iCs/>
      <w:color w:val="1F3864" w:themeColor="accent1" w:themeShade="80"/>
    </w:rPr>
  </w:style>
  <w:style w:type="character" w:styleId="Ttulodellibro">
    <w:name w:val="Book Title"/>
    <w:basedOn w:val="Fuentedeprrafopredeter"/>
    <w:uiPriority w:val="33"/>
    <w:qFormat/>
    <w:rsid w:val="00F1086C"/>
    <w:rPr>
      <w:b/>
      <w:bCs/>
      <w:smallCaps/>
      <w:spacing w:val="10"/>
    </w:rPr>
  </w:style>
  <w:style w:type="paragraph" w:styleId="TtuloTDC">
    <w:name w:val="TOC Heading"/>
    <w:basedOn w:val="Ttulo1"/>
    <w:next w:val="Normal"/>
    <w:uiPriority w:val="39"/>
    <w:semiHidden/>
    <w:unhideWhenUsed/>
    <w:qFormat/>
    <w:rsid w:val="00F1086C"/>
    <w:pPr>
      <w:outlineLvl w:val="9"/>
    </w:pPr>
  </w:style>
  <w:style w:type="paragraph" w:customStyle="1" w:styleId="Ant-parrafoNormal">
    <w:name w:val="Ant-parrafoNormal"/>
    <w:basedOn w:val="Normal"/>
    <w:qFormat/>
    <w:rsid w:val="007C08E3"/>
    <w:pPr>
      <w:spacing w:after="0" w:line="360" w:lineRule="auto"/>
      <w:ind w:firstLine="284"/>
      <w:jc w:val="both"/>
    </w:pPr>
    <w:rPr>
      <w:rFonts w:ascii="Arial" w:eastAsia="Times New Roman" w:hAnsi="Arial" w:cs="Times New Roman"/>
      <w:sz w:val="24"/>
      <w:szCs w:val="24"/>
      <w:lang w:eastAsia="es-ES"/>
    </w:rPr>
  </w:style>
  <w:style w:type="paragraph" w:customStyle="1" w:styleId="normalant">
    <w:name w:val="normal ant"/>
    <w:basedOn w:val="NormalWeb"/>
    <w:qFormat/>
    <w:rsid w:val="00030F39"/>
    <w:pPr>
      <w:jc w:val="both"/>
    </w:pPr>
    <w:rPr>
      <w:rFonts w:ascii="Trebuchet MS" w:hAnsi="Trebuchet MS"/>
    </w:rPr>
  </w:style>
  <w:style w:type="paragraph" w:styleId="Textoindependiente">
    <w:name w:val="Body Text"/>
    <w:basedOn w:val="Normal"/>
    <w:link w:val="TextoindependienteCar"/>
    <w:uiPriority w:val="99"/>
    <w:unhideWhenUsed/>
    <w:rsid w:val="00B402AE"/>
    <w:pPr>
      <w:jc w:val="both"/>
    </w:pPr>
    <w:rPr>
      <w:sz w:val="28"/>
      <w:szCs w:val="28"/>
    </w:rPr>
  </w:style>
  <w:style w:type="character" w:customStyle="1" w:styleId="TextoindependienteCar">
    <w:name w:val="Texto independiente Car"/>
    <w:basedOn w:val="Fuentedeprrafopredeter"/>
    <w:link w:val="Textoindependiente"/>
    <w:uiPriority w:val="99"/>
    <w:rsid w:val="00B402AE"/>
    <w:rPr>
      <w:rFonts w:eastAsiaTheme="minorEastAsia"/>
      <w:sz w:val="28"/>
      <w:szCs w:val="28"/>
    </w:rPr>
  </w:style>
  <w:style w:type="paragraph" w:styleId="Sangra2detindependiente">
    <w:name w:val="Body Text Indent 2"/>
    <w:basedOn w:val="Normal"/>
    <w:link w:val="Sangra2detindependienteCar"/>
    <w:uiPriority w:val="99"/>
    <w:semiHidden/>
    <w:unhideWhenUsed/>
    <w:rsid w:val="005563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55635C"/>
    <w:rPr>
      <w:rFonts w:eastAsiaTheme="minorEastAsia"/>
    </w:rPr>
  </w:style>
  <w:style w:type="character" w:styleId="Textodelmarcadordeposicin">
    <w:name w:val="Placeholder Text"/>
    <w:basedOn w:val="Fuentedeprrafopredeter"/>
    <w:uiPriority w:val="99"/>
    <w:semiHidden/>
    <w:rsid w:val="002A7BFA"/>
    <w:rPr>
      <w:color w:val="808080"/>
    </w:rPr>
  </w:style>
  <w:style w:type="paragraph" w:styleId="Encabezado">
    <w:name w:val="header"/>
    <w:basedOn w:val="Normal"/>
    <w:link w:val="EncabezadoCar"/>
    <w:uiPriority w:val="99"/>
    <w:unhideWhenUsed/>
    <w:rsid w:val="00DC0A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C0A72"/>
    <w:rPr>
      <w:rFonts w:eastAsiaTheme="minorEastAsia"/>
    </w:rPr>
  </w:style>
  <w:style w:type="paragraph" w:styleId="Piedepgina">
    <w:name w:val="footer"/>
    <w:basedOn w:val="Normal"/>
    <w:link w:val="PiedepginaCar"/>
    <w:uiPriority w:val="99"/>
    <w:unhideWhenUsed/>
    <w:rsid w:val="00DC0A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C0A72"/>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35151">
      <w:bodyDiv w:val="1"/>
      <w:marLeft w:val="0"/>
      <w:marRight w:val="0"/>
      <w:marTop w:val="0"/>
      <w:marBottom w:val="0"/>
      <w:divBdr>
        <w:top w:val="none" w:sz="0" w:space="0" w:color="auto"/>
        <w:left w:val="none" w:sz="0" w:space="0" w:color="auto"/>
        <w:bottom w:val="none" w:sz="0" w:space="0" w:color="auto"/>
        <w:right w:val="none" w:sz="0" w:space="0" w:color="auto"/>
      </w:divBdr>
    </w:div>
    <w:div w:id="283731929">
      <w:bodyDiv w:val="1"/>
      <w:marLeft w:val="0"/>
      <w:marRight w:val="0"/>
      <w:marTop w:val="0"/>
      <w:marBottom w:val="0"/>
      <w:divBdr>
        <w:top w:val="none" w:sz="0" w:space="0" w:color="auto"/>
        <w:left w:val="none" w:sz="0" w:space="0" w:color="auto"/>
        <w:bottom w:val="none" w:sz="0" w:space="0" w:color="auto"/>
        <w:right w:val="none" w:sz="0" w:space="0" w:color="auto"/>
      </w:divBdr>
    </w:div>
    <w:div w:id="926302218">
      <w:bodyDiv w:val="1"/>
      <w:marLeft w:val="0"/>
      <w:marRight w:val="0"/>
      <w:marTop w:val="0"/>
      <w:marBottom w:val="0"/>
      <w:divBdr>
        <w:top w:val="none" w:sz="0" w:space="0" w:color="auto"/>
        <w:left w:val="none" w:sz="0" w:space="0" w:color="auto"/>
        <w:bottom w:val="none" w:sz="0" w:space="0" w:color="auto"/>
        <w:right w:val="none" w:sz="0" w:space="0" w:color="auto"/>
      </w:divBdr>
      <w:divsChild>
        <w:div w:id="853113421">
          <w:marLeft w:val="0"/>
          <w:marRight w:val="0"/>
          <w:marTop w:val="0"/>
          <w:marBottom w:val="0"/>
          <w:divBdr>
            <w:top w:val="none" w:sz="0" w:space="0" w:color="auto"/>
            <w:left w:val="none" w:sz="0" w:space="0" w:color="auto"/>
            <w:bottom w:val="none" w:sz="0" w:space="0" w:color="auto"/>
            <w:right w:val="none" w:sz="0" w:space="0" w:color="auto"/>
          </w:divBdr>
        </w:div>
      </w:divsChild>
    </w:div>
    <w:div w:id="1327123791">
      <w:bodyDiv w:val="1"/>
      <w:marLeft w:val="0"/>
      <w:marRight w:val="0"/>
      <w:marTop w:val="0"/>
      <w:marBottom w:val="0"/>
      <w:divBdr>
        <w:top w:val="none" w:sz="0" w:space="0" w:color="auto"/>
        <w:left w:val="none" w:sz="0" w:space="0" w:color="auto"/>
        <w:bottom w:val="none" w:sz="0" w:space="0" w:color="auto"/>
        <w:right w:val="none" w:sz="0" w:space="0" w:color="auto"/>
      </w:divBdr>
    </w:div>
    <w:div w:id="1466124989">
      <w:bodyDiv w:val="1"/>
      <w:marLeft w:val="0"/>
      <w:marRight w:val="0"/>
      <w:marTop w:val="0"/>
      <w:marBottom w:val="0"/>
      <w:divBdr>
        <w:top w:val="none" w:sz="0" w:space="0" w:color="auto"/>
        <w:left w:val="none" w:sz="0" w:space="0" w:color="auto"/>
        <w:bottom w:val="none" w:sz="0" w:space="0" w:color="auto"/>
        <w:right w:val="none" w:sz="0" w:space="0" w:color="auto"/>
      </w:divBdr>
      <w:divsChild>
        <w:div w:id="255139651">
          <w:marLeft w:val="0"/>
          <w:marRight w:val="0"/>
          <w:marTop w:val="0"/>
          <w:marBottom w:val="0"/>
          <w:divBdr>
            <w:top w:val="none" w:sz="0" w:space="0" w:color="auto"/>
            <w:left w:val="none" w:sz="0" w:space="0" w:color="auto"/>
            <w:bottom w:val="none" w:sz="0" w:space="0" w:color="auto"/>
            <w:right w:val="none" w:sz="0" w:space="0" w:color="auto"/>
          </w:divBdr>
        </w:div>
      </w:divsChild>
    </w:div>
    <w:div w:id="1596211191">
      <w:bodyDiv w:val="1"/>
      <w:marLeft w:val="0"/>
      <w:marRight w:val="0"/>
      <w:marTop w:val="0"/>
      <w:marBottom w:val="0"/>
      <w:divBdr>
        <w:top w:val="none" w:sz="0" w:space="0" w:color="auto"/>
        <w:left w:val="none" w:sz="0" w:space="0" w:color="auto"/>
        <w:bottom w:val="none" w:sz="0" w:space="0" w:color="auto"/>
        <w:right w:val="none" w:sz="0" w:space="0" w:color="auto"/>
      </w:divBdr>
    </w:div>
    <w:div w:id="1925645506">
      <w:bodyDiv w:val="1"/>
      <w:marLeft w:val="0"/>
      <w:marRight w:val="0"/>
      <w:marTop w:val="0"/>
      <w:marBottom w:val="0"/>
      <w:divBdr>
        <w:top w:val="none" w:sz="0" w:space="0" w:color="auto"/>
        <w:left w:val="none" w:sz="0" w:space="0" w:color="auto"/>
        <w:bottom w:val="none" w:sz="0" w:space="0" w:color="auto"/>
        <w:right w:val="none" w:sz="0" w:space="0" w:color="auto"/>
      </w:divBdr>
      <w:divsChild>
        <w:div w:id="1359895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rebuchet MS">
      <a:majorFont>
        <a:latin typeface="Trebuchet MS" panose="020B0603020202020204"/>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HG丸ｺﾞｼｯｸM-PRO"/>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604</Words>
  <Characters>3445</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2021-10-28T06:53:00Z</dcterms:created>
  <dcterms:modified xsi:type="dcterms:W3CDTF">2021-10-28T07:47:00Z</dcterms:modified>
</cp:coreProperties>
</file>