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C97A3" w14:textId="77777777" w:rsidR="00DA496F" w:rsidRPr="005577B8" w:rsidRDefault="00000000">
      <w:pPr>
        <w:spacing w:after="0"/>
        <w:jc w:val="right"/>
        <w:rPr>
          <w:rFonts w:ascii="HP Simplified" w:hAnsi="HP Simplified"/>
          <w:sz w:val="24"/>
          <w:szCs w:val="24"/>
        </w:rPr>
      </w:pPr>
      <w:r w:rsidRPr="005577B8">
        <w:rPr>
          <w:rFonts w:ascii="HP Simplified" w:hAnsi="HP Simplified"/>
          <w:b/>
          <w:sz w:val="24"/>
          <w:szCs w:val="24"/>
        </w:rPr>
        <w:t>AYUNTAMIENTO DE ARGANZA</w:t>
      </w:r>
      <w:r w:rsidRPr="005577B8">
        <w:rPr>
          <w:rFonts w:ascii="HP Simplified" w:hAnsi="HP Simplified"/>
          <w:sz w:val="24"/>
          <w:szCs w:val="24"/>
        </w:rPr>
        <w:t xml:space="preserve"> </w:t>
      </w:r>
    </w:p>
    <w:p w14:paraId="59B23070" w14:textId="77777777" w:rsidR="00DA496F" w:rsidRPr="005577B8" w:rsidRDefault="00000000">
      <w:pPr>
        <w:spacing w:after="0"/>
        <w:jc w:val="right"/>
        <w:rPr>
          <w:rFonts w:ascii="HP Simplified" w:hAnsi="HP Simplified"/>
          <w:sz w:val="24"/>
          <w:szCs w:val="24"/>
        </w:rPr>
      </w:pPr>
      <w:r w:rsidRPr="005577B8">
        <w:rPr>
          <w:rFonts w:ascii="HP Simplified" w:hAnsi="HP Simplified"/>
          <w:sz w:val="24"/>
          <w:szCs w:val="24"/>
        </w:rPr>
        <w:t>Plaza Constitución, 1,</w:t>
      </w:r>
    </w:p>
    <w:p w14:paraId="23F92C01" w14:textId="77777777" w:rsidR="00DA496F" w:rsidRPr="005577B8" w:rsidRDefault="00000000">
      <w:pPr>
        <w:spacing w:after="0"/>
        <w:jc w:val="right"/>
        <w:rPr>
          <w:rFonts w:ascii="HP Simplified" w:hAnsi="HP Simplified"/>
          <w:sz w:val="24"/>
          <w:szCs w:val="24"/>
        </w:rPr>
      </w:pPr>
      <w:r w:rsidRPr="005577B8">
        <w:rPr>
          <w:rFonts w:ascii="HP Simplified" w:hAnsi="HP Simplified"/>
          <w:sz w:val="24"/>
          <w:szCs w:val="24"/>
        </w:rPr>
        <w:t>24546 ARGANZA (LEÓN)</w:t>
      </w:r>
    </w:p>
    <w:p w14:paraId="2919EABF" w14:textId="77777777" w:rsidR="00DA496F" w:rsidRPr="005577B8" w:rsidRDefault="00DA496F">
      <w:pPr>
        <w:jc w:val="both"/>
        <w:rPr>
          <w:rFonts w:ascii="HP Simplified" w:hAnsi="HP Simplified"/>
          <w:sz w:val="24"/>
          <w:szCs w:val="24"/>
        </w:rPr>
      </w:pPr>
    </w:p>
    <w:p w14:paraId="624F66B2" w14:textId="77777777" w:rsidR="00DA496F" w:rsidRPr="005577B8" w:rsidRDefault="00DA496F">
      <w:pPr>
        <w:jc w:val="both"/>
        <w:rPr>
          <w:rFonts w:ascii="HP Simplified" w:hAnsi="HP Simplified"/>
          <w:sz w:val="24"/>
          <w:szCs w:val="24"/>
        </w:rPr>
      </w:pPr>
    </w:p>
    <w:p w14:paraId="1B23952E" w14:textId="77777777" w:rsidR="00DA496F" w:rsidRPr="005577B8" w:rsidRDefault="00000000">
      <w:pPr>
        <w:jc w:val="both"/>
        <w:rPr>
          <w:rFonts w:ascii="HP Simplified" w:hAnsi="HP Simplified"/>
          <w:sz w:val="24"/>
          <w:szCs w:val="24"/>
        </w:rPr>
      </w:pPr>
      <w:r w:rsidRPr="005577B8">
        <w:rPr>
          <w:rFonts w:ascii="HP Simplified" w:hAnsi="HP Simplified"/>
          <w:b/>
          <w:sz w:val="24"/>
          <w:szCs w:val="24"/>
        </w:rPr>
        <w:t>ASUNTO</w:t>
      </w:r>
      <w:r w:rsidRPr="005577B8">
        <w:rPr>
          <w:rFonts w:ascii="HP Simplified" w:hAnsi="HP Simplified"/>
          <w:sz w:val="24"/>
          <w:szCs w:val="24"/>
        </w:rPr>
        <w:t xml:space="preserve">: </w:t>
      </w:r>
      <w:r w:rsidRPr="005577B8">
        <w:rPr>
          <w:rFonts w:ascii="HP Simplified" w:hAnsi="HP Simplified"/>
          <w:sz w:val="24"/>
          <w:szCs w:val="24"/>
        </w:rPr>
        <w:tab/>
      </w:r>
      <w:r w:rsidRPr="005577B8">
        <w:rPr>
          <w:rFonts w:ascii="HP Simplified" w:hAnsi="HP Simplified"/>
          <w:b/>
          <w:sz w:val="24"/>
          <w:szCs w:val="24"/>
        </w:rPr>
        <w:t xml:space="preserve">Trámite de INFORMACIÓN PÚBLICA relativa a la solicitud de autorización de uso excepcional de suelo rústico y licencia urbanística para una planta fotovoltaica, en SAN JUAN DE LA MATA (en diversas parcelas del polígono 27 y 28), en el término municipal de </w:t>
      </w:r>
      <w:proofErr w:type="spellStart"/>
      <w:r w:rsidRPr="005577B8">
        <w:rPr>
          <w:rFonts w:ascii="HP Simplified" w:hAnsi="HP Simplified"/>
          <w:b/>
          <w:sz w:val="24"/>
          <w:szCs w:val="24"/>
        </w:rPr>
        <w:t>Arganza</w:t>
      </w:r>
      <w:proofErr w:type="spellEnd"/>
      <w:r w:rsidRPr="005577B8">
        <w:rPr>
          <w:rFonts w:ascii="HP Simplified" w:hAnsi="HP Simplified"/>
          <w:b/>
          <w:sz w:val="24"/>
          <w:szCs w:val="24"/>
        </w:rPr>
        <w:t xml:space="preserve"> (León). </w:t>
      </w:r>
      <w:proofErr w:type="spellStart"/>
      <w:r w:rsidRPr="005577B8">
        <w:rPr>
          <w:rFonts w:ascii="HP Simplified" w:hAnsi="HP Simplified"/>
          <w:b/>
          <w:sz w:val="24"/>
          <w:szCs w:val="24"/>
        </w:rPr>
        <w:t>Expte</w:t>
      </w:r>
      <w:proofErr w:type="spellEnd"/>
      <w:r w:rsidRPr="005577B8">
        <w:rPr>
          <w:rFonts w:ascii="HP Simplified" w:hAnsi="HP Simplified"/>
          <w:b/>
          <w:sz w:val="24"/>
          <w:szCs w:val="24"/>
        </w:rPr>
        <w:t xml:space="preserve">.: 27/2022. </w:t>
      </w:r>
    </w:p>
    <w:p w14:paraId="3F1EC95F" w14:textId="77777777" w:rsidR="00DA496F" w:rsidRPr="005577B8" w:rsidRDefault="00DA496F">
      <w:pPr>
        <w:jc w:val="both"/>
        <w:rPr>
          <w:rFonts w:ascii="HP Simplified" w:hAnsi="HP Simplified"/>
          <w:sz w:val="24"/>
          <w:szCs w:val="24"/>
        </w:rPr>
      </w:pPr>
    </w:p>
    <w:p w14:paraId="37F5CD29" w14:textId="77777777" w:rsidR="005577B8" w:rsidRPr="005577B8" w:rsidRDefault="005577B8" w:rsidP="005577B8">
      <w:pPr>
        <w:spacing w:after="120" w:line="240" w:lineRule="auto"/>
        <w:jc w:val="both"/>
        <w:rPr>
          <w:rFonts w:ascii="HP Simplified" w:hAnsi="HP Simplified"/>
          <w:b/>
          <w:bCs/>
          <w:color w:val="FF0000"/>
          <w:sz w:val="24"/>
          <w:szCs w:val="24"/>
        </w:rPr>
      </w:pPr>
      <w:r w:rsidRPr="005577B8">
        <w:rPr>
          <w:rFonts w:ascii="HP Simplified" w:hAnsi="HP Simplified"/>
          <w:b/>
          <w:bCs/>
          <w:color w:val="FF0000"/>
          <w:sz w:val="24"/>
          <w:szCs w:val="24"/>
        </w:rPr>
        <w:t>A ELEGIR UNO DE LOS SIGUIENTES ENCABEZADOS, SEGÚN CORRESPONDA (asociación o persona física)</w:t>
      </w:r>
    </w:p>
    <w:p w14:paraId="6BCC7E7A" w14:textId="77777777" w:rsidR="005577B8" w:rsidRPr="005577B8" w:rsidRDefault="005577B8" w:rsidP="005577B8">
      <w:pPr>
        <w:spacing w:after="120" w:line="240" w:lineRule="auto"/>
        <w:jc w:val="both"/>
        <w:rPr>
          <w:rFonts w:ascii="HP Simplified" w:hAnsi="HP Simplified"/>
          <w:b/>
          <w:bCs/>
          <w:color w:val="FF0000"/>
          <w:sz w:val="24"/>
          <w:szCs w:val="24"/>
        </w:rPr>
      </w:pPr>
    </w:p>
    <w:p w14:paraId="1F1CED55" w14:textId="77777777" w:rsidR="005577B8" w:rsidRPr="005577B8" w:rsidRDefault="005577B8" w:rsidP="005577B8">
      <w:pPr>
        <w:spacing w:after="120" w:line="240" w:lineRule="auto"/>
        <w:jc w:val="both"/>
        <w:rPr>
          <w:rFonts w:ascii="HP Simplified" w:hAnsi="HP Simplified"/>
          <w:b/>
          <w:bCs/>
          <w:color w:val="FF0000"/>
          <w:sz w:val="24"/>
          <w:szCs w:val="24"/>
        </w:rPr>
      </w:pPr>
      <w:r w:rsidRPr="005577B8">
        <w:rPr>
          <w:rFonts w:ascii="HP Simplified" w:hAnsi="HP Simplified"/>
          <w:b/>
          <w:bCs/>
          <w:color w:val="FF0000"/>
          <w:sz w:val="24"/>
          <w:szCs w:val="24"/>
        </w:rPr>
        <w:t xml:space="preserve">D. </w:t>
      </w:r>
      <w:proofErr w:type="spellStart"/>
      <w:r w:rsidRPr="005577B8">
        <w:rPr>
          <w:rFonts w:ascii="HP Simplified" w:hAnsi="HP Simplified"/>
          <w:b/>
          <w:bCs/>
          <w:color w:val="FF0000"/>
          <w:sz w:val="24"/>
          <w:szCs w:val="24"/>
        </w:rPr>
        <w:t>xxxxxxxxxxxxxxxxxxxxxxxxxxxxx</w:t>
      </w:r>
      <w:proofErr w:type="spellEnd"/>
      <w:r w:rsidRPr="005577B8">
        <w:rPr>
          <w:rFonts w:ascii="HP Simplified" w:hAnsi="HP Simplified"/>
          <w:b/>
          <w:bCs/>
          <w:color w:val="FF0000"/>
          <w:sz w:val="24"/>
          <w:szCs w:val="24"/>
        </w:rPr>
        <w:t xml:space="preserve">, con DNI </w:t>
      </w:r>
      <w:proofErr w:type="spellStart"/>
      <w:r w:rsidRPr="005577B8">
        <w:rPr>
          <w:rFonts w:ascii="HP Simplified" w:hAnsi="HP Simplified"/>
          <w:b/>
          <w:bCs/>
          <w:color w:val="FF0000"/>
          <w:sz w:val="24"/>
          <w:szCs w:val="24"/>
        </w:rPr>
        <w:t>xxxxxxxxxxxxxxxx</w:t>
      </w:r>
      <w:proofErr w:type="spellEnd"/>
      <w:r w:rsidRPr="005577B8">
        <w:rPr>
          <w:rFonts w:ascii="HP Simplified" w:hAnsi="HP Simplified"/>
          <w:b/>
          <w:bCs/>
          <w:color w:val="FF0000"/>
          <w:sz w:val="24"/>
          <w:szCs w:val="24"/>
        </w:rPr>
        <w:t xml:space="preserve">, en nombre y representación de la ASOCIACIÓN </w:t>
      </w:r>
      <w:proofErr w:type="spellStart"/>
      <w:r w:rsidRPr="005577B8">
        <w:rPr>
          <w:rFonts w:ascii="HP Simplified" w:hAnsi="HP Simplified"/>
          <w:b/>
          <w:bCs/>
          <w:color w:val="FF0000"/>
          <w:sz w:val="24"/>
          <w:szCs w:val="24"/>
        </w:rPr>
        <w:t>xxxxxxxxxxxxxxxxxxxxxx</w:t>
      </w:r>
      <w:proofErr w:type="spellEnd"/>
      <w:r w:rsidRPr="005577B8">
        <w:rPr>
          <w:rFonts w:ascii="HP Simplified" w:hAnsi="HP Simplified"/>
          <w:b/>
          <w:bCs/>
          <w:color w:val="FF0000"/>
          <w:sz w:val="24"/>
          <w:szCs w:val="24"/>
        </w:rPr>
        <w:t xml:space="preserve">, con CIF </w:t>
      </w:r>
      <w:proofErr w:type="spellStart"/>
      <w:r w:rsidRPr="005577B8">
        <w:rPr>
          <w:rFonts w:ascii="HP Simplified" w:hAnsi="HP Simplified"/>
          <w:b/>
          <w:bCs/>
          <w:color w:val="FF0000"/>
          <w:sz w:val="24"/>
          <w:szCs w:val="24"/>
        </w:rPr>
        <w:t>xxxxxxxxxxx</w:t>
      </w:r>
      <w:proofErr w:type="spellEnd"/>
      <w:r w:rsidRPr="005577B8">
        <w:rPr>
          <w:rFonts w:ascii="HP Simplified" w:hAnsi="HP Simplified"/>
          <w:b/>
          <w:bCs/>
          <w:color w:val="FF0000"/>
          <w:sz w:val="24"/>
          <w:szCs w:val="24"/>
        </w:rPr>
        <w:t xml:space="preserve">, y con correo electrónico a efecto de notificaciones </w:t>
      </w:r>
      <w:hyperlink r:id="rId5" w:history="1">
        <w:r w:rsidRPr="005577B8">
          <w:rPr>
            <w:rStyle w:val="Hipervnculo"/>
            <w:rFonts w:ascii="HP Simplified" w:hAnsi="HP Simplified"/>
            <w:b/>
            <w:bCs/>
            <w:color w:val="FF0000"/>
            <w:sz w:val="24"/>
            <w:szCs w:val="24"/>
          </w:rPr>
          <w:t>xxxxxxxxxx@xxxxxxxx.xxx</w:t>
        </w:r>
      </w:hyperlink>
      <w:r w:rsidRPr="005577B8">
        <w:rPr>
          <w:rFonts w:ascii="HP Simplified" w:hAnsi="HP Simplified"/>
          <w:b/>
          <w:bCs/>
          <w:color w:val="FF0000"/>
          <w:sz w:val="24"/>
          <w:szCs w:val="24"/>
        </w:rPr>
        <w:t xml:space="preserve">, </w:t>
      </w:r>
    </w:p>
    <w:p w14:paraId="33C995A5" w14:textId="77777777" w:rsidR="005577B8" w:rsidRPr="005577B8" w:rsidRDefault="005577B8" w:rsidP="005577B8">
      <w:pPr>
        <w:spacing w:after="120" w:line="240" w:lineRule="auto"/>
        <w:jc w:val="both"/>
        <w:rPr>
          <w:rFonts w:ascii="HP Simplified" w:hAnsi="HP Simplified"/>
          <w:b/>
          <w:bCs/>
          <w:color w:val="FF0000"/>
          <w:sz w:val="24"/>
          <w:szCs w:val="24"/>
        </w:rPr>
      </w:pPr>
    </w:p>
    <w:p w14:paraId="577EA485" w14:textId="77777777" w:rsidR="005577B8" w:rsidRPr="005577B8" w:rsidRDefault="005577B8" w:rsidP="005577B8">
      <w:pPr>
        <w:spacing w:after="120" w:line="240" w:lineRule="auto"/>
        <w:jc w:val="both"/>
        <w:rPr>
          <w:rFonts w:ascii="HP Simplified" w:hAnsi="HP Simplified"/>
          <w:b/>
          <w:bCs/>
          <w:color w:val="FF0000"/>
          <w:sz w:val="24"/>
          <w:szCs w:val="24"/>
        </w:rPr>
      </w:pPr>
      <w:r w:rsidRPr="005577B8">
        <w:rPr>
          <w:rFonts w:ascii="HP Simplified" w:hAnsi="HP Simplified"/>
          <w:b/>
          <w:bCs/>
          <w:color w:val="FF0000"/>
          <w:sz w:val="24"/>
          <w:szCs w:val="24"/>
        </w:rPr>
        <w:t xml:space="preserve">D. </w:t>
      </w:r>
      <w:proofErr w:type="spellStart"/>
      <w:r w:rsidRPr="005577B8">
        <w:rPr>
          <w:rFonts w:ascii="HP Simplified" w:hAnsi="HP Simplified"/>
          <w:b/>
          <w:bCs/>
          <w:color w:val="FF0000"/>
          <w:sz w:val="24"/>
          <w:szCs w:val="24"/>
        </w:rPr>
        <w:t>xxxxxxxxxxxxxxxxxxxxxxxxxxxxx</w:t>
      </w:r>
      <w:proofErr w:type="spellEnd"/>
      <w:r w:rsidRPr="005577B8">
        <w:rPr>
          <w:rFonts w:ascii="HP Simplified" w:hAnsi="HP Simplified"/>
          <w:b/>
          <w:bCs/>
          <w:color w:val="FF0000"/>
          <w:sz w:val="24"/>
          <w:szCs w:val="24"/>
        </w:rPr>
        <w:t xml:space="preserve">, con DNI </w:t>
      </w:r>
      <w:proofErr w:type="spellStart"/>
      <w:r w:rsidRPr="005577B8">
        <w:rPr>
          <w:rFonts w:ascii="HP Simplified" w:hAnsi="HP Simplified"/>
          <w:b/>
          <w:bCs/>
          <w:color w:val="FF0000"/>
          <w:sz w:val="24"/>
          <w:szCs w:val="24"/>
        </w:rPr>
        <w:t>xxxxxxxxxxxxxxxx</w:t>
      </w:r>
      <w:proofErr w:type="spellEnd"/>
      <w:r w:rsidRPr="005577B8">
        <w:rPr>
          <w:rFonts w:ascii="HP Simplified" w:hAnsi="HP Simplified"/>
          <w:b/>
          <w:bCs/>
          <w:color w:val="FF0000"/>
          <w:sz w:val="24"/>
          <w:szCs w:val="24"/>
        </w:rPr>
        <w:t xml:space="preserve">, mayor de edad, con domicilio en </w:t>
      </w:r>
      <w:proofErr w:type="spellStart"/>
      <w:r w:rsidRPr="005577B8">
        <w:rPr>
          <w:rFonts w:ascii="HP Simplified" w:hAnsi="HP Simplified"/>
          <w:b/>
          <w:bCs/>
          <w:color w:val="FF0000"/>
          <w:sz w:val="24"/>
          <w:szCs w:val="24"/>
        </w:rPr>
        <w:t>xxxxxxxxxxxxxxxxxxxxxxxxxxxxxxxxxxxxxxxxxxxx</w:t>
      </w:r>
      <w:proofErr w:type="spellEnd"/>
      <w:r w:rsidRPr="005577B8">
        <w:rPr>
          <w:rFonts w:ascii="HP Simplified" w:hAnsi="HP Simplified"/>
          <w:b/>
          <w:bCs/>
          <w:color w:val="FF0000"/>
          <w:sz w:val="24"/>
          <w:szCs w:val="24"/>
        </w:rPr>
        <w:t xml:space="preserve"> y con correo electrónico a efecto de notificaciones </w:t>
      </w:r>
      <w:hyperlink r:id="rId6" w:history="1">
        <w:r w:rsidRPr="005577B8">
          <w:rPr>
            <w:rStyle w:val="Hipervnculo"/>
            <w:rFonts w:ascii="HP Simplified" w:hAnsi="HP Simplified"/>
            <w:b/>
            <w:bCs/>
            <w:color w:val="FF0000"/>
            <w:sz w:val="24"/>
            <w:szCs w:val="24"/>
          </w:rPr>
          <w:t>xxxxxxxxxx@xxxxxxxx.xxx</w:t>
        </w:r>
      </w:hyperlink>
      <w:r w:rsidRPr="005577B8">
        <w:rPr>
          <w:rFonts w:ascii="HP Simplified" w:hAnsi="HP Simplified"/>
          <w:b/>
          <w:bCs/>
          <w:color w:val="FF0000"/>
          <w:sz w:val="24"/>
          <w:szCs w:val="24"/>
        </w:rPr>
        <w:t xml:space="preserve">, </w:t>
      </w:r>
    </w:p>
    <w:p w14:paraId="00E07739" w14:textId="77777777" w:rsidR="005577B8" w:rsidRPr="005577B8" w:rsidRDefault="005577B8" w:rsidP="005577B8">
      <w:pPr>
        <w:jc w:val="both"/>
        <w:rPr>
          <w:rFonts w:ascii="HP Simplified" w:hAnsi="HP Simplified"/>
          <w:sz w:val="24"/>
          <w:szCs w:val="24"/>
        </w:rPr>
      </w:pPr>
    </w:p>
    <w:p w14:paraId="3E4A76C9" w14:textId="77777777" w:rsidR="005577B8" w:rsidRPr="005577B8" w:rsidRDefault="005577B8" w:rsidP="005577B8">
      <w:pPr>
        <w:jc w:val="both"/>
        <w:rPr>
          <w:rFonts w:ascii="HP Simplified" w:hAnsi="HP Simplified"/>
          <w:sz w:val="24"/>
          <w:szCs w:val="24"/>
        </w:rPr>
      </w:pPr>
    </w:p>
    <w:p w14:paraId="49BBD5E3" w14:textId="77777777" w:rsidR="005577B8" w:rsidRPr="005577B8" w:rsidRDefault="005577B8" w:rsidP="005577B8">
      <w:pPr>
        <w:jc w:val="center"/>
        <w:rPr>
          <w:rFonts w:ascii="HP Simplified" w:hAnsi="HP Simplified"/>
          <w:b/>
          <w:sz w:val="24"/>
          <w:szCs w:val="24"/>
        </w:rPr>
      </w:pPr>
      <w:r w:rsidRPr="005577B8">
        <w:rPr>
          <w:rFonts w:ascii="HP Simplified" w:hAnsi="HP Simplified"/>
          <w:b/>
          <w:sz w:val="24"/>
          <w:szCs w:val="24"/>
        </w:rPr>
        <w:t>EXPONE</w:t>
      </w:r>
    </w:p>
    <w:p w14:paraId="460934BD"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Que, habiendo conocido a través del Boletín de Castilla y León del día 31 de agosto de 2022, el anuncio de la Administración Local por el que se somete a información pública la SOLICITUD DE AUTORIZACIÓN DE USO EXCEPCIONAL DE SUELO RÚSTICO Y LICENCIA URBANÍSTICA PARA UNA PLANTA FOTOVOLTAICA EN SAN JUAN DE LA MATA, EN EL TÉRMINO MUNICIPAL DE ARGANZA (LEÓN), y al amparo de lo establecido, entre otras, en las siguientes normas:</w:t>
      </w:r>
    </w:p>
    <w:p w14:paraId="6A39173E" w14:textId="77777777" w:rsidR="005577B8" w:rsidRPr="005577B8" w:rsidRDefault="005577B8" w:rsidP="005577B8">
      <w:pPr>
        <w:spacing w:after="12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 xml:space="preserve">Ley 27/2006, de 18 de julio, por la que se regulan los derechos de acceso a la información, de participación pública y de acceso a la justicia en materia de medio ambiente (incorpora las Directivas 2003/4/CE y 2003/35/CE), </w:t>
      </w:r>
    </w:p>
    <w:p w14:paraId="2B3D8489"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Ley 39/2015, de Procedimiento Administrativo Común.</w:t>
      </w:r>
    </w:p>
    <w:p w14:paraId="72123B88"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 xml:space="preserve">Decreto 349/2005 y modificativo Decreto 178/2009.  </w:t>
      </w:r>
      <w:proofErr w:type="gramStart"/>
      <w:r w:rsidRPr="005577B8">
        <w:rPr>
          <w:rFonts w:ascii="HP Simplified" w:hAnsi="HP Simplified"/>
          <w:sz w:val="24"/>
          <w:szCs w:val="24"/>
        </w:rPr>
        <w:t>Reglamento de Evaluación de Impacto Ambiental y autorizaciones ambientales</w:t>
      </w:r>
      <w:proofErr w:type="gramEnd"/>
      <w:r w:rsidRPr="005577B8">
        <w:rPr>
          <w:rFonts w:ascii="HP Simplified" w:hAnsi="HP Simplified"/>
          <w:sz w:val="24"/>
          <w:szCs w:val="24"/>
        </w:rPr>
        <w:t>.</w:t>
      </w:r>
    </w:p>
    <w:p w14:paraId="4082C059"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Ley 19/2013, de 9 de diciembre, de transparencia, acceso a la información pública y buen gobierno.</w:t>
      </w:r>
    </w:p>
    <w:p w14:paraId="7319FE8E"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Decreto 22/2004, Reglamento de Urbanismo de Castilla y León</w:t>
      </w:r>
    </w:p>
    <w:p w14:paraId="474780D3"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lastRenderedPageBreak/>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Ley 5/1999, de 8 de abril, de Urbanismo de Castilla y León.</w:t>
      </w:r>
    </w:p>
    <w:p w14:paraId="1D260695"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Ley 21/2013, de 9 de diciembre, de evaluación ambiental.</w:t>
      </w:r>
    </w:p>
    <w:p w14:paraId="56D73322" w14:textId="77777777" w:rsidR="005577B8" w:rsidRPr="005577B8" w:rsidRDefault="005577B8" w:rsidP="005577B8">
      <w:pPr>
        <w:spacing w:after="0"/>
        <w:ind w:left="780" w:hanging="360"/>
        <w:jc w:val="both"/>
        <w:rPr>
          <w:rFonts w:ascii="HP Simplified" w:hAnsi="HP Simplified"/>
          <w:sz w:val="24"/>
          <w:szCs w:val="24"/>
        </w:rPr>
      </w:pPr>
      <w:r w:rsidRPr="005577B8">
        <w:rPr>
          <w:rFonts w:ascii="Arial" w:eastAsia="Arial" w:hAnsi="Arial" w:cs="Arial"/>
          <w:sz w:val="24"/>
          <w:szCs w:val="24"/>
        </w:rPr>
        <w:t>●</w:t>
      </w:r>
      <w:r w:rsidRPr="005577B8">
        <w:rPr>
          <w:rFonts w:ascii="HP Simplified" w:eastAsia="Times New Roman" w:hAnsi="HP Simplified" w:cs="Times New Roman"/>
          <w:sz w:val="24"/>
          <w:szCs w:val="24"/>
        </w:rPr>
        <w:t xml:space="preserve">       </w:t>
      </w:r>
      <w:r w:rsidRPr="005577B8">
        <w:rPr>
          <w:rFonts w:ascii="HP Simplified" w:hAnsi="HP Simplified"/>
          <w:sz w:val="24"/>
          <w:szCs w:val="24"/>
        </w:rPr>
        <w:t>Ley 7/2021, de 20 de mayo, de Cambio Climático y Transición Energética.</w:t>
      </w:r>
    </w:p>
    <w:p w14:paraId="18D17140" w14:textId="77777777" w:rsidR="005577B8" w:rsidRPr="005577B8" w:rsidRDefault="005577B8" w:rsidP="005577B8">
      <w:pPr>
        <w:jc w:val="both"/>
        <w:rPr>
          <w:rFonts w:ascii="HP Simplified" w:hAnsi="HP Simplified"/>
          <w:sz w:val="24"/>
          <w:szCs w:val="24"/>
        </w:rPr>
      </w:pPr>
    </w:p>
    <w:p w14:paraId="35F26C2F" w14:textId="77777777" w:rsidR="005577B8" w:rsidRPr="005577B8" w:rsidRDefault="005577B8" w:rsidP="005577B8">
      <w:pPr>
        <w:jc w:val="center"/>
        <w:rPr>
          <w:rFonts w:ascii="HP Simplified" w:hAnsi="HP Simplified"/>
          <w:b/>
          <w:sz w:val="24"/>
          <w:szCs w:val="24"/>
        </w:rPr>
      </w:pPr>
      <w:r w:rsidRPr="005577B8">
        <w:rPr>
          <w:rFonts w:ascii="HP Simplified" w:hAnsi="HP Simplified"/>
          <w:b/>
          <w:sz w:val="24"/>
          <w:szCs w:val="24"/>
        </w:rPr>
        <w:t>SOLICITA</w:t>
      </w:r>
    </w:p>
    <w:p w14:paraId="302D08F0" w14:textId="77777777" w:rsidR="005577B8" w:rsidRPr="005577B8" w:rsidRDefault="005577B8" w:rsidP="005577B8">
      <w:pPr>
        <w:jc w:val="both"/>
        <w:rPr>
          <w:rFonts w:ascii="HP Simplified" w:hAnsi="HP Simplified"/>
          <w:sz w:val="24"/>
          <w:szCs w:val="24"/>
        </w:rPr>
      </w:pPr>
    </w:p>
    <w:p w14:paraId="4ABCAC10" w14:textId="757ACF0C" w:rsidR="005577B8" w:rsidRPr="005577B8" w:rsidRDefault="005577B8" w:rsidP="005577B8">
      <w:pPr>
        <w:spacing w:before="240"/>
        <w:jc w:val="both"/>
        <w:rPr>
          <w:rFonts w:ascii="HP Simplified" w:hAnsi="HP Simplified"/>
          <w:b/>
          <w:sz w:val="24"/>
          <w:szCs w:val="24"/>
        </w:rPr>
      </w:pPr>
      <w:r w:rsidRPr="005577B8">
        <w:rPr>
          <w:rFonts w:ascii="HP Simplified" w:hAnsi="HP Simplified"/>
          <w:b/>
          <w:sz w:val="24"/>
          <w:szCs w:val="24"/>
        </w:rPr>
        <w:t xml:space="preserve">I- Que se reconozca </w:t>
      </w:r>
      <w:proofErr w:type="spellStart"/>
      <w:r w:rsidRPr="005577B8">
        <w:rPr>
          <w:rFonts w:ascii="HP Simplified" w:hAnsi="HP Simplified"/>
          <w:b/>
          <w:sz w:val="24"/>
          <w:szCs w:val="24"/>
        </w:rPr>
        <w:t>a</w:t>
      </w:r>
      <w:r>
        <w:rPr>
          <w:rFonts w:ascii="HP Simplified" w:hAnsi="HP Simplified"/>
          <w:b/>
          <w:color w:val="FF0000"/>
          <w:sz w:val="24"/>
          <w:szCs w:val="24"/>
        </w:rPr>
        <w:t>XXXXXXXXXXXXXXX</w:t>
      </w:r>
      <w:proofErr w:type="spellEnd"/>
      <w:r w:rsidRPr="005577B8">
        <w:rPr>
          <w:rFonts w:ascii="HP Simplified" w:hAnsi="HP Simplified"/>
          <w:b/>
          <w:sz w:val="24"/>
          <w:szCs w:val="24"/>
        </w:rPr>
        <w:t xml:space="preserve"> la CONDICIÓN DE INTERESADO  </w:t>
      </w:r>
    </w:p>
    <w:p w14:paraId="4321C997"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Justificamos la condición de parte interesada en virtud del artículo 4 de la ley 39/2015 de Procedimiento Administrativo Común: </w:t>
      </w:r>
      <w:r w:rsidRPr="005577B8">
        <w:rPr>
          <w:rFonts w:ascii="HP Simplified" w:hAnsi="HP Simplified"/>
          <w:i/>
          <w:sz w:val="24"/>
          <w:szCs w:val="24"/>
        </w:rPr>
        <w:t>“c) Aquellos cuyos intereses legítimos, individuales o colectivos, puedan resultar afectados por la resolución y se personen en el procedimiento en tanto no haya recaído resolución definitiva.”</w:t>
      </w:r>
      <w:r w:rsidRPr="005577B8">
        <w:rPr>
          <w:rFonts w:ascii="HP Simplified" w:hAnsi="HP Simplified"/>
          <w:sz w:val="24"/>
          <w:szCs w:val="24"/>
        </w:rPr>
        <w:t xml:space="preserve"> </w:t>
      </w:r>
    </w:p>
    <w:p w14:paraId="023F6F4A"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Esta condición resulta de habernos personado en el procedimiento dado que nuestros legítimos intereses colectivos resultan directamente afectados por el mismo. Existe una relación unívoca entre nuestra entidad como parte interesada y el objeto de la referida pretensión identificada en los fines recogidos en nuestros estatutos.  </w:t>
      </w:r>
    </w:p>
    <w:p w14:paraId="6487A394"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Además, el Convenio de Aarhus otorga al público (particulares y asociaciones que los representan) el derecho de acceder a la información y participar en las decisiones adoptadas en materia de medio ambiente, así como de reclamar una compensación si no se respetan estos derechos.</w:t>
      </w:r>
    </w:p>
    <w:p w14:paraId="429B44AD"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Y por ello solicitamos el reconocimiento de dicha condición y el acceso al expediente en base a la condición de interesado, que se nos remita copia completa del expediente. Al respecto debe tenerse en cuenta que conforme a la ley 27/2006 de 18 de julio de acceso a la información ambiental los interesados tienen derecho a que se les remita la información en formato electrónico (artículo 3).  </w:t>
      </w:r>
    </w:p>
    <w:p w14:paraId="59A66781" w14:textId="77777777" w:rsidR="005577B8" w:rsidRPr="005577B8" w:rsidRDefault="005577B8" w:rsidP="005577B8">
      <w:pPr>
        <w:spacing w:before="240"/>
        <w:jc w:val="both"/>
        <w:rPr>
          <w:rFonts w:ascii="HP Simplified" w:hAnsi="HP Simplified"/>
          <w:b/>
          <w:sz w:val="24"/>
          <w:szCs w:val="24"/>
        </w:rPr>
      </w:pPr>
      <w:r w:rsidRPr="005577B8">
        <w:rPr>
          <w:rFonts w:ascii="HP Simplified" w:hAnsi="HP Simplified"/>
          <w:b/>
          <w:sz w:val="24"/>
          <w:szCs w:val="24"/>
        </w:rPr>
        <w:t xml:space="preserve">II- Que se tenga por ACREDITADA LA REPRESENTACIÓN </w:t>
      </w:r>
    </w:p>
    <w:p w14:paraId="5FDDA4B7" w14:textId="77777777" w:rsidR="005577B8" w:rsidRPr="005577B8" w:rsidRDefault="005577B8" w:rsidP="005577B8">
      <w:pPr>
        <w:spacing w:before="240"/>
        <w:jc w:val="both"/>
        <w:rPr>
          <w:rFonts w:ascii="HP Simplified" w:hAnsi="HP Simplified"/>
          <w:i/>
          <w:sz w:val="24"/>
          <w:szCs w:val="24"/>
        </w:rPr>
      </w:pPr>
      <w:r w:rsidRPr="005577B8">
        <w:rPr>
          <w:rFonts w:ascii="HP Simplified" w:hAnsi="HP Simplified"/>
          <w:sz w:val="24"/>
          <w:szCs w:val="24"/>
        </w:rPr>
        <w:t xml:space="preserve">Conforme al Artículo 5.4. de la ley 39/2015 de Procedimiento Administrativo Común: </w:t>
      </w:r>
      <w:r w:rsidRPr="005577B8">
        <w:rPr>
          <w:rFonts w:ascii="HP Simplified" w:hAnsi="HP Simplified"/>
          <w:i/>
          <w:sz w:val="24"/>
          <w:szCs w:val="24"/>
        </w:rPr>
        <w:t xml:space="preserve">“La representación podrá acreditarse mediante cualquier medio válido en Derecho que deje constancia fidedigna de su existencia. A estos efectos, se entenderá acreditada la representación realizada mediante apoderamiento apud acta efectuado por comparecencia personal o comparecencia electrónica en la correspondiente sede electrónica, o a través de la acreditación de su inscripción en el registro electrónico de apoderamientos de la Administración Pública competente.”  </w:t>
      </w:r>
    </w:p>
    <w:p w14:paraId="5504ED0D" w14:textId="6654B440"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La representación queda acreditada desde el momento en que para presentar las presentes alegaciones se comparece ante la administración electrónica como </w:t>
      </w:r>
      <w:r>
        <w:rPr>
          <w:rFonts w:ascii="HP Simplified" w:hAnsi="HP Simplified"/>
          <w:b/>
          <w:bCs/>
          <w:color w:val="FF0000"/>
          <w:sz w:val="24"/>
          <w:szCs w:val="24"/>
        </w:rPr>
        <w:t>XXXXXXXXXXXXXXXXX</w:t>
      </w:r>
      <w:r w:rsidRPr="005577B8">
        <w:rPr>
          <w:rFonts w:ascii="HP Simplified" w:hAnsi="HP Simplified"/>
          <w:sz w:val="24"/>
          <w:szCs w:val="24"/>
        </w:rPr>
        <w:t xml:space="preserve">. La presentación de dichas alegaciones a través de registro electrónico verifica esa acreditación de la representación y permite presentarlo con firma digital como </w:t>
      </w:r>
      <w:r>
        <w:rPr>
          <w:rFonts w:ascii="HP Simplified" w:hAnsi="HP Simplified"/>
          <w:b/>
          <w:bCs/>
          <w:color w:val="FF0000"/>
          <w:sz w:val="24"/>
          <w:szCs w:val="24"/>
        </w:rPr>
        <w:t>XXXXXXXXXXXXXXXXXX</w:t>
      </w:r>
      <w:r w:rsidRPr="005577B8">
        <w:rPr>
          <w:rFonts w:ascii="HP Simplified" w:hAnsi="HP Simplified"/>
          <w:sz w:val="24"/>
          <w:szCs w:val="24"/>
        </w:rPr>
        <w:t xml:space="preserve">. </w:t>
      </w:r>
    </w:p>
    <w:p w14:paraId="3906ED21" w14:textId="77777777" w:rsidR="005577B8" w:rsidRPr="005577B8" w:rsidRDefault="005577B8" w:rsidP="005577B8">
      <w:pPr>
        <w:spacing w:before="240"/>
        <w:jc w:val="both"/>
        <w:rPr>
          <w:rFonts w:ascii="HP Simplified" w:eastAsia="Times New Roman" w:hAnsi="HP Simplified" w:cs="Times New Roman"/>
          <w:sz w:val="24"/>
          <w:szCs w:val="24"/>
        </w:rPr>
      </w:pPr>
      <w:r w:rsidRPr="005577B8">
        <w:rPr>
          <w:rFonts w:ascii="HP Simplified" w:hAnsi="HP Simplified"/>
          <w:b/>
          <w:sz w:val="24"/>
          <w:szCs w:val="24"/>
        </w:rPr>
        <w:lastRenderedPageBreak/>
        <w:t xml:space="preserve">III- Que se tengan por presentadas las siguientes  </w:t>
      </w:r>
    </w:p>
    <w:p w14:paraId="59C3E9EC" w14:textId="77777777" w:rsidR="005577B8" w:rsidRPr="005577B8" w:rsidRDefault="005577B8" w:rsidP="005577B8">
      <w:pPr>
        <w:spacing w:before="240"/>
        <w:jc w:val="center"/>
        <w:rPr>
          <w:rFonts w:ascii="HP Simplified" w:eastAsia="Times New Roman" w:hAnsi="HP Simplified" w:cs="Times New Roman"/>
          <w:sz w:val="24"/>
          <w:szCs w:val="24"/>
        </w:rPr>
      </w:pPr>
      <w:r w:rsidRPr="005577B8">
        <w:rPr>
          <w:rFonts w:ascii="HP Simplified" w:hAnsi="HP Simplified"/>
          <w:b/>
          <w:sz w:val="24"/>
          <w:szCs w:val="24"/>
        </w:rPr>
        <w:t>ALEGACIONES</w:t>
      </w:r>
    </w:p>
    <w:p w14:paraId="4BF1E1E5" w14:textId="77777777" w:rsidR="005577B8" w:rsidRPr="005577B8" w:rsidRDefault="005577B8" w:rsidP="005577B8">
      <w:pPr>
        <w:spacing w:before="240"/>
        <w:jc w:val="both"/>
        <w:rPr>
          <w:rFonts w:ascii="HP Simplified" w:hAnsi="HP Simplified"/>
          <w:b/>
          <w:sz w:val="24"/>
          <w:szCs w:val="24"/>
        </w:rPr>
      </w:pPr>
      <w:r w:rsidRPr="005577B8">
        <w:rPr>
          <w:rFonts w:ascii="HP Simplified" w:hAnsi="HP Simplified"/>
          <w:b/>
          <w:sz w:val="24"/>
          <w:szCs w:val="24"/>
        </w:rPr>
        <w:t xml:space="preserve">Alegación primera - DEFICIENCIAS EN LA TRAMITACIÓN DEL EXPEDIENTE </w:t>
      </w:r>
    </w:p>
    <w:p w14:paraId="1973DBE5"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 </w:t>
      </w:r>
      <w:r w:rsidRPr="005577B8">
        <w:rPr>
          <w:rFonts w:ascii="HP Simplified" w:hAnsi="HP Simplified"/>
          <w:b/>
          <w:sz w:val="24"/>
          <w:szCs w:val="24"/>
        </w:rPr>
        <w:t>Trámite de información pública:</w:t>
      </w:r>
      <w:r w:rsidRPr="005577B8">
        <w:rPr>
          <w:rFonts w:ascii="HP Simplified" w:hAnsi="HP Simplified"/>
          <w:sz w:val="24"/>
          <w:szCs w:val="24"/>
        </w:rPr>
        <w:t xml:space="preserve"> No se está siguiendo el trámite de información pública según marca la ley. La ley de Urbanismo de la Junta de Casilla y León en su artículo 142 dice: </w:t>
      </w:r>
      <w:r w:rsidRPr="005577B8">
        <w:rPr>
          <w:rFonts w:ascii="HP Simplified" w:hAnsi="HP Simplified"/>
          <w:i/>
          <w:iCs/>
          <w:sz w:val="24"/>
          <w:szCs w:val="24"/>
        </w:rPr>
        <w:t xml:space="preserve">“Además de lo expresamente dispuesto en esta Ley para la aprobación y entrada en vigor de los instrumentos de planeamiento y gestión urbanísticos y para la autorización de usos excepcionales en suelo rústico, en los trámites de información pública se aplicarán las siguientes reglas: a) La información pública se efectuará en las unidades administrativas más cercanas a los interesados, además de en los boletines oficiales, medios de comunicación y tablones de anuncios o edictos correspondientes. b) Los anuncios de información pública indicarán claramente el instrumento o expediente objeto de </w:t>
      </w:r>
      <w:proofErr w:type="gramStart"/>
      <w:r w:rsidRPr="005577B8">
        <w:rPr>
          <w:rFonts w:ascii="HP Simplified" w:hAnsi="HP Simplified"/>
          <w:i/>
          <w:iCs/>
          <w:sz w:val="24"/>
          <w:szCs w:val="24"/>
        </w:rPr>
        <w:t>la misma</w:t>
      </w:r>
      <w:proofErr w:type="gramEnd"/>
      <w:r w:rsidRPr="005577B8">
        <w:rPr>
          <w:rFonts w:ascii="HP Simplified" w:hAnsi="HP Simplified"/>
          <w:i/>
          <w:iCs/>
          <w:sz w:val="24"/>
          <w:szCs w:val="24"/>
        </w:rPr>
        <w:t xml:space="preserve"> y la duración del periodo, así como el lugar, horario y página Web dispuestos para la consulta.”</w:t>
      </w:r>
    </w:p>
    <w:p w14:paraId="0CC7A188"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El Ayuntamiento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no ha dado cumplimiento al trámite de información pública por lo que el presente procedimiento administrativo se encuentra viciado por este defecto de forma que subsanar. Es necesario dar cumplimiento al trámite de información pública según marca la ley. El Ayuntamiento ha incumplido su propio compromiso de publicar el anuncio en el tablón de anuncios del Ayuntamiento 20 días antes de cerrar el plazo de alegaciones, y en el Diario de León (compromiso asumido en la providencia de Alcaldía, Expediente: 27/2022, emitida el 23/08/2022 sobre la Solicitud de Licencia presentada por Patricia Jiménez Ortega en representación de Cabañas Raras Solar SL.). Tampoco ha publicado el anuncio de esta solicitud en el Tablón de Anuncios del Ayuntamiento hasta el día 5 de septiembre, cuando dos personas solicitaron acceder al expediente citado en papel en las dependencias de ese Ayuntamiento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(debido a que las imágenes de internet estaban borrosas) se les comunica que el proyecto no está en el Ayuntamiento porque la empresa no lo había dejado, que para acceder al expediente se tenía que hacer a través de la web del Ayuntamiento por cuyo motivo lo reclamaron presentando un escrito en el registro, que se acompaña en el </w:t>
      </w:r>
      <w:r w:rsidRPr="005577B8">
        <w:rPr>
          <w:rFonts w:ascii="HP Simplified" w:hAnsi="HP Simplified"/>
          <w:b/>
          <w:bCs/>
          <w:sz w:val="24"/>
          <w:szCs w:val="24"/>
        </w:rPr>
        <w:t>ANEXO</w:t>
      </w:r>
      <w:r w:rsidRPr="005577B8">
        <w:rPr>
          <w:rFonts w:ascii="HP Simplified" w:hAnsi="HP Simplified"/>
          <w:sz w:val="24"/>
          <w:szCs w:val="24"/>
        </w:rPr>
        <w:t xml:space="preserve"> </w:t>
      </w:r>
      <w:r w:rsidRPr="005577B8">
        <w:rPr>
          <w:rFonts w:ascii="HP Simplified" w:hAnsi="HP Simplified"/>
          <w:b/>
          <w:bCs/>
          <w:sz w:val="24"/>
          <w:szCs w:val="24"/>
        </w:rPr>
        <w:t>I</w:t>
      </w:r>
      <w:r w:rsidRPr="005577B8">
        <w:rPr>
          <w:rFonts w:ascii="HP Simplified" w:hAnsi="HP Simplified"/>
          <w:sz w:val="24"/>
          <w:szCs w:val="24"/>
        </w:rPr>
        <w:t>.</w:t>
      </w:r>
    </w:p>
    <w:p w14:paraId="618CA0DE"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A fecha de 20 de septiembre no se encuentra dicho anuncio en el tablón de anuncios de la sede electrónica </w:t>
      </w:r>
      <w:r w:rsidRPr="005577B8">
        <w:rPr>
          <w:rFonts w:ascii="HP Simplified" w:hAnsi="HP Simplified"/>
          <w:b/>
          <w:bCs/>
          <w:sz w:val="24"/>
          <w:szCs w:val="24"/>
        </w:rPr>
        <w:t>(ANEXO II)</w:t>
      </w:r>
    </w:p>
    <w:p w14:paraId="6B0442E8"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Ahondando más en esta cuestión se aprecia cómo en el Anuncio del Boletín del Expte:27/2022 del Ayuntamiento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de fecha 31 de agosto de 2022 en su punto 7 remite a la sede electrónica para su consulta y otros trámites, olvidando citar un lugar físico para facilitar el acceso al expediente.</w:t>
      </w:r>
    </w:p>
    <w:p w14:paraId="1D87AB74" w14:textId="77777777" w:rsidR="005577B8" w:rsidRPr="005577B8" w:rsidRDefault="005577B8" w:rsidP="005577B8">
      <w:pPr>
        <w:jc w:val="both"/>
        <w:rPr>
          <w:rFonts w:ascii="HP Simplified" w:hAnsi="HP Simplified"/>
          <w:sz w:val="24"/>
          <w:szCs w:val="24"/>
        </w:rPr>
      </w:pPr>
    </w:p>
    <w:p w14:paraId="78C94DA4" w14:textId="77777777" w:rsidR="005577B8" w:rsidRPr="005577B8" w:rsidRDefault="005577B8" w:rsidP="005577B8">
      <w:pPr>
        <w:spacing w:before="240"/>
        <w:jc w:val="both"/>
        <w:rPr>
          <w:rFonts w:ascii="HP Simplified" w:hAnsi="HP Simplified"/>
          <w:b/>
          <w:sz w:val="24"/>
          <w:szCs w:val="24"/>
        </w:rPr>
      </w:pPr>
      <w:r w:rsidRPr="005577B8">
        <w:rPr>
          <w:rFonts w:ascii="HP Simplified" w:hAnsi="HP Simplified"/>
          <w:b/>
          <w:sz w:val="24"/>
          <w:szCs w:val="24"/>
        </w:rPr>
        <w:t>Alegación segunda – NO SE ACREDITAN REQUISITOS BÁSICOS PARA LLEVAR A CABO ESE USO</w:t>
      </w:r>
    </w:p>
    <w:p w14:paraId="5DB477E0"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lastRenderedPageBreak/>
        <w:t xml:space="preserve">El promotor ha de tener capacidad de obrar comprobada, para poder llevar a cabo ese uso en esa finca si cumpliera los requisitos para ser autorizable como uso excepcional; ha de contar al menos con la titularidad de la finca, con la concesión del enganche a la red y con la autorización ambiental previa, y todos estos pormenores deben de ser comprobados. Sin embargo, no nos consta que se acrediten estos particulares; escogida una de las fincas de mayor extensión al azar no aparece inscrita en el Registro de la Propiedad. </w:t>
      </w:r>
    </w:p>
    <w:p w14:paraId="6F67AA68"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Por algún motivo, que no alcanzamos a conocer, no se ha registrado esta finca con sus cargas o deudas en el Registro de la Propiedad (ANEXO III), cuando además esta finca ha sido objeto de concurso de acreedores por las deudas que según parece podrían estar aún sin saldar. Y todo esto no aparece en el registro de la propiedad porque este polígono está sin registrar. Lo lógico cuando tienes documentación que acredita los derechos de propiedad, es registrar la finca en el registro de la propiedad, y debiera de ser necesario para venderla y para llevar a cabo el concurso de acreedores. Instamos al Ilmo. Ayuntamiento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a que inicie las diligencias oportunas para verificar si la mercantil dispone de dicho dominio.</w:t>
      </w:r>
    </w:p>
    <w:p w14:paraId="77015668"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Tampoco se cuenta con autorización ambiental previa, que, como su propio nombre indica, debiera de ser previa para que tenga algún sentido solicitar el uso excepcional. Sin esa autorización ambiental previa no se puede presumir el tipo de uso excepcional con las condiciones que justificarían que se otorgue una autorización de uso excepcional en suelo rústico. Primero ha de evidenciarse el uso concreto con sus requisitos legales para que éste sea autorizable como uso excepcional. Requerirán la Autorización Ambiental Previa (AAP) las actividades, construcciones u obras que se detallan en el Artículo 2 del Reglamento de Evaluación de Impacto Ambiental (EIA) y Autorizaciones Ambientales (AA) (Decreto 349/2005 y modificativo Decreto 178/2009). </w:t>
      </w:r>
    </w:p>
    <w:p w14:paraId="095CD317" w14:textId="77777777" w:rsidR="005577B8" w:rsidRPr="005577B8" w:rsidRDefault="005577B8" w:rsidP="005577B8">
      <w:pPr>
        <w:spacing w:before="240"/>
        <w:jc w:val="both"/>
        <w:rPr>
          <w:rFonts w:ascii="HP Simplified" w:hAnsi="HP Simplified"/>
          <w:bCs/>
          <w:sz w:val="24"/>
          <w:szCs w:val="24"/>
        </w:rPr>
      </w:pPr>
      <w:r w:rsidRPr="005577B8">
        <w:rPr>
          <w:rFonts w:ascii="HP Simplified" w:hAnsi="HP Simplified"/>
          <w:bCs/>
          <w:sz w:val="24"/>
          <w:szCs w:val="24"/>
        </w:rPr>
        <w:t>Por otro lado, no consta en el expediente el CERTIFICADO DEL SECRETARIO DEL AYUNTAMIENTO que corrobore la legalidad del proyecto propuesto.</w:t>
      </w:r>
    </w:p>
    <w:p w14:paraId="491ABDD8" w14:textId="77777777" w:rsidR="005577B8" w:rsidRPr="005577B8" w:rsidRDefault="005577B8" w:rsidP="005577B8">
      <w:pPr>
        <w:spacing w:before="240"/>
        <w:jc w:val="both"/>
        <w:rPr>
          <w:rFonts w:ascii="HP Simplified" w:hAnsi="HP Simplified"/>
          <w:bCs/>
          <w:sz w:val="24"/>
          <w:szCs w:val="24"/>
        </w:rPr>
      </w:pPr>
      <w:r w:rsidRPr="005577B8">
        <w:rPr>
          <w:rFonts w:ascii="HP Simplified" w:hAnsi="HP Simplified"/>
          <w:bCs/>
          <w:sz w:val="24"/>
          <w:szCs w:val="24"/>
        </w:rPr>
        <w:t xml:space="preserve">No existe informe de la Junta de Castilla y León por la afección de la carretera LE-4211 debido a las previsibles escorrentías que se producirían con ocasión de la tala masiva de bosque. Dicho informe se hace necesario teniendo en cuenta que podrían producir importantes daños sobre la misma y pudiendo poner en peligro a las personas que por ella circulan. </w:t>
      </w:r>
    </w:p>
    <w:p w14:paraId="21F1F2EB" w14:textId="77777777" w:rsidR="005577B8" w:rsidRPr="005577B8" w:rsidRDefault="005577B8" w:rsidP="005577B8">
      <w:pPr>
        <w:spacing w:before="240"/>
        <w:jc w:val="both"/>
        <w:rPr>
          <w:rFonts w:ascii="HP Simplified" w:hAnsi="HP Simplified"/>
          <w:bCs/>
          <w:sz w:val="24"/>
          <w:szCs w:val="24"/>
        </w:rPr>
      </w:pPr>
      <w:r w:rsidRPr="005577B8">
        <w:rPr>
          <w:rFonts w:ascii="HP Simplified" w:hAnsi="HP Simplified"/>
          <w:bCs/>
          <w:sz w:val="24"/>
          <w:szCs w:val="24"/>
        </w:rPr>
        <w:t xml:space="preserve">No existe informe previo de LA CONSEJERÍA DE MEDIO AMBIENTE DE CASTILLA Y LEÓN por la extensión del proyecto. Al afectar a 200 Ha de Monte, la Junta de Castilla y León a través de la Ley de Montes se ha reservado prácticamente todas las competencias. </w:t>
      </w:r>
    </w:p>
    <w:p w14:paraId="5A00E6FA" w14:textId="77777777" w:rsidR="005577B8" w:rsidRPr="005577B8" w:rsidRDefault="005577B8" w:rsidP="005577B8">
      <w:pPr>
        <w:spacing w:before="240"/>
        <w:jc w:val="both"/>
        <w:rPr>
          <w:rFonts w:ascii="HP Simplified" w:hAnsi="HP Simplified"/>
          <w:b/>
          <w:color w:val="FF0000"/>
          <w:sz w:val="24"/>
          <w:szCs w:val="24"/>
        </w:rPr>
      </w:pPr>
    </w:p>
    <w:p w14:paraId="6FA9FB34" w14:textId="77777777" w:rsidR="005577B8" w:rsidRPr="005577B8" w:rsidRDefault="005577B8" w:rsidP="005577B8">
      <w:pPr>
        <w:spacing w:before="240"/>
        <w:jc w:val="both"/>
        <w:rPr>
          <w:rFonts w:ascii="HP Simplified" w:hAnsi="HP Simplified"/>
          <w:b/>
          <w:sz w:val="24"/>
          <w:szCs w:val="24"/>
        </w:rPr>
      </w:pPr>
      <w:r w:rsidRPr="005577B8">
        <w:rPr>
          <w:rFonts w:ascii="HP Simplified" w:hAnsi="HP Simplified"/>
          <w:b/>
          <w:sz w:val="24"/>
          <w:szCs w:val="24"/>
        </w:rPr>
        <w:t>Alegación tercera – NO SE CUMPLEN LAS GARANTÍAS DE LA LEY PARA LA AUTORIZACIÓN DE ESE USO EXCEPCIONAL</w:t>
      </w:r>
    </w:p>
    <w:p w14:paraId="6716F9CB" w14:textId="77777777" w:rsidR="005577B8" w:rsidRPr="005577B8" w:rsidRDefault="005577B8" w:rsidP="005577B8">
      <w:pPr>
        <w:spacing w:before="240"/>
        <w:jc w:val="both"/>
        <w:rPr>
          <w:rFonts w:ascii="HP Simplified" w:hAnsi="HP Simplified"/>
          <w:i/>
          <w:sz w:val="24"/>
          <w:szCs w:val="24"/>
        </w:rPr>
      </w:pPr>
      <w:r w:rsidRPr="005577B8">
        <w:rPr>
          <w:rFonts w:ascii="HP Simplified" w:hAnsi="HP Simplified"/>
          <w:sz w:val="24"/>
          <w:szCs w:val="24"/>
        </w:rPr>
        <w:lastRenderedPageBreak/>
        <w:t xml:space="preserve">El suelo para el que se solicita el uso excepcional es suelo Rústico, No Urbanizable, Especialmente Protegido, según lo previsto en las Normas Subsidiarias Municipales de Ámbito Provincial, dentro de la categoría 7: Forestal (Suelo Rústico con protección natural según el art. 37.d) del Decreto22/2004, Reglamento de Urbanismo de Castilla y León). La Ley 5/1999, de 8 de abril, de Urbanismo de Castilla y León establece la especial protección que merece el suelo rústico (Artículo 23 y siguientes). En su preámbulo se recoge el espíritu de la ley respecto a lo cual podemos citar textualmente: </w:t>
      </w:r>
      <w:r w:rsidRPr="005577B8">
        <w:rPr>
          <w:rFonts w:ascii="HP Simplified" w:hAnsi="HP Simplified"/>
          <w:i/>
          <w:sz w:val="24"/>
          <w:szCs w:val="24"/>
        </w:rPr>
        <w:t xml:space="preserve">“Además, aun admitiendo que el territorio se ha configurado históricamente como resultado de complejos procesos sociales, resulta hoy difícil aceptar que su articulación continúe derivándose de la yuxtaposición aleatoria de actuaciones sectoriales y locales que, aunque puedan ser coherentes en sí mismas, carecen de un marco de referencia global. No obstante, estas limitaciones se ven compensadas por valores endógenos como la riqueza de sus espacios naturales y de su patrimonio cultural, lo que permite apoyar en ellos la ordenación territorial de Castilla y León, frente a la usual concepción economicista orientada a la simple distribución de las actividades económicas en el espacio. II. La Ordenación del Territorio ha sido definida en la Carta Europea de 1983 como «la expresión espacial de la política económica, social, cultural y ecológica de toda sociedad», teniendo como objetivos: El desarrollo socioeconómico equilibrado y sostenible; la mejora de la calidad de vida de la población, a través de su acceso al uso de los servicios e infraestructuras públicas y del patrimonio natural y cultural; la gestión responsable de los recursos naturales y la protección del medio ambiente, de forma compatible con la satisfacción de las necesidades crecientes de recursos, así como con el respeto a las peculiaridades locales; y la utilización racional y equilibrada del territorio, mediante la definición de los usos aceptables o a fomentar para cada tipo de suelo, la creación de las adecuadas redes de infraestructuras e incluso el fomento de las actuaciones que mejor persigan el fortalecimiento del espíritu comunitario.” </w:t>
      </w:r>
    </w:p>
    <w:p w14:paraId="7779BCFB"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Por su parte, el Decreto 22/2004, de 29 de enero, por el que se aprueba el Reglamento de Urbanismo de Castilla y León, desarrolla normativamente todos los aspectos de la regulación de la especial protección que merece el suelo rústico. Según este Decreto, para que en un suelo rústico resulten autorizables los usos no recogidos en su régimen general, debe necesariamente motivarse que se cumple con el mandato de la normativa que pone como condiciones en el Art 57 del citado Reglamento: </w:t>
      </w:r>
    </w:p>
    <w:p w14:paraId="1453DA07" w14:textId="77777777" w:rsidR="005577B8" w:rsidRPr="005577B8" w:rsidRDefault="005577B8" w:rsidP="005577B8">
      <w:pPr>
        <w:spacing w:before="240" w:after="0"/>
        <w:jc w:val="both"/>
        <w:rPr>
          <w:rFonts w:ascii="HP Simplified" w:hAnsi="HP Simplified"/>
          <w:i/>
          <w:sz w:val="24"/>
          <w:szCs w:val="24"/>
        </w:rPr>
      </w:pPr>
      <w:r w:rsidRPr="005577B8">
        <w:rPr>
          <w:rFonts w:ascii="HP Simplified" w:hAnsi="HP Simplified"/>
          <w:i/>
          <w:sz w:val="24"/>
          <w:szCs w:val="24"/>
        </w:rPr>
        <w:t>• “atendiendo a su interés público”,</w:t>
      </w:r>
    </w:p>
    <w:p w14:paraId="6FE0074C"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 xml:space="preserve"> • “conformidad con la naturaleza rústica de los terrenos”,</w:t>
      </w:r>
    </w:p>
    <w:p w14:paraId="0084D6C4" w14:textId="77777777" w:rsidR="005577B8" w:rsidRPr="005577B8" w:rsidRDefault="005577B8" w:rsidP="005577B8">
      <w:pPr>
        <w:jc w:val="both"/>
        <w:rPr>
          <w:rFonts w:ascii="HP Simplified" w:hAnsi="HP Simplified"/>
          <w:i/>
          <w:sz w:val="24"/>
          <w:szCs w:val="24"/>
        </w:rPr>
      </w:pPr>
      <w:r w:rsidRPr="005577B8">
        <w:rPr>
          <w:rFonts w:ascii="HP Simplified" w:hAnsi="HP Simplified"/>
          <w:i/>
          <w:sz w:val="24"/>
          <w:szCs w:val="24"/>
        </w:rPr>
        <w:t xml:space="preserve">• “compatibilidad con los valores protegidos por la legislación sectorial vinculados a la utilización racional de los recursos naturales”. </w:t>
      </w:r>
    </w:p>
    <w:p w14:paraId="032FBCE7"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La empresa CABAÑAS RARAS SOLAR, S.L. en su escrito de fecha 16 de febrero de 2022, en el que no consta ningún registro de entrada en el ayuntamiento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en su EXPONE tercero plantea que conforme al Decreto 22/204, de 29 de enero por el que se aprueba el Reglamento de Urbanismo de Castilla y León, para obtener Licencia Urbanística en suelo rústico es necesaria la autorización de uso Excepcional, siendo el </w:t>
      </w:r>
      <w:r w:rsidRPr="005577B8">
        <w:rPr>
          <w:rFonts w:ascii="HP Simplified" w:hAnsi="HP Simplified"/>
          <w:sz w:val="24"/>
          <w:szCs w:val="24"/>
        </w:rPr>
        <w:lastRenderedPageBreak/>
        <w:t>uso de este proyecto el establecido en el Art 57. C. 2.: “</w:t>
      </w:r>
      <w:r w:rsidRPr="005577B8">
        <w:rPr>
          <w:rFonts w:ascii="HP Simplified" w:hAnsi="HP Simplified"/>
          <w:i/>
          <w:sz w:val="24"/>
          <w:szCs w:val="24"/>
        </w:rPr>
        <w:t xml:space="preserve">c) Obras públicas e infraestructuras en general, así como las construcciones e instalaciones necesarias para su ejecución, conservación y servicio, entendiendo como tales: 1º. El transporte viario, ferroviario, aéreo y fluvial. 2º. La producción, transporte, transformación, distribución y suministro de </w:t>
      </w:r>
      <w:proofErr w:type="gramStart"/>
      <w:r w:rsidRPr="005577B8">
        <w:rPr>
          <w:rFonts w:ascii="HP Simplified" w:hAnsi="HP Simplified"/>
          <w:i/>
          <w:sz w:val="24"/>
          <w:szCs w:val="24"/>
        </w:rPr>
        <w:t>energía.(...)</w:t>
      </w:r>
      <w:proofErr w:type="gramEnd"/>
      <w:r w:rsidRPr="005577B8">
        <w:rPr>
          <w:rFonts w:ascii="HP Simplified" w:hAnsi="HP Simplified"/>
          <w:sz w:val="24"/>
          <w:szCs w:val="24"/>
        </w:rPr>
        <w:t>” Entendemos que cuando el reglamento se refiere a obras públicas e infraestructuras en general, se refiere a las que sean de general uso y aprovechamiento, y las construcciones destinadas a servicios que se hallen a cargo de las administraciones públicas o aquella dotación en infraestructuras que las administraciones procuren como bien común. Ya existe una dotación suficiente en infraestructura eléctrica en la zona y en la región, y la demanda eléctrica lejos de crecer, desciende o se estanca, según datos de la propia Red Eléctrica Española. La citada empresa no puede usurpar el lugar de las administraciones en la procura de las infraestructuras necesarias para las poblaciones, por cuyo motivo no puede invocar este apartado de la ley, sin tener en cuenta además todo el articulado de dicho reglamento y el espíritu de la ley.</w:t>
      </w:r>
    </w:p>
    <w:p w14:paraId="596E9706"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Los usos excepcionales autorizables, vienen detallados en el Art 57 en unos epígrafes en los que se abunda en lo que puede considerarse de </w:t>
      </w:r>
      <w:r w:rsidRPr="005577B8">
        <w:rPr>
          <w:rFonts w:ascii="HP Simplified" w:hAnsi="HP Simplified"/>
          <w:i/>
          <w:sz w:val="24"/>
          <w:szCs w:val="24"/>
        </w:rPr>
        <w:t>“interés público”</w:t>
      </w:r>
      <w:r w:rsidRPr="005577B8">
        <w:rPr>
          <w:rFonts w:ascii="HP Simplified" w:hAnsi="HP Simplified"/>
          <w:sz w:val="24"/>
          <w:szCs w:val="24"/>
        </w:rPr>
        <w:t xml:space="preserve"> respecto al uso industrial que supone el presente proyecto: g) Otros usos, sean dotacionales, comerciales, industriales, de almacenamiento, vinculados al ocio o de cualquier otro tipo, que puedan considerarse de interés público: 1.º Por estar vinculados a cualquier forma de servicio público. 2.º Porque se aprecie la necesidad de su emplazamiento en suelo rústico, ya sea a causa de sus específicos requerimientos en materia de ubicación, superficie, accesos, ventilación u otras circunstancias especiales, o por su incompatibilidad con los usos urbanos. 3.º Por estar vinculados a la producción agropecuaria. 4.º Por la conveniencia de regularizar y consolidar los asentamientos irregulares, y de dotarles con los servicios necesarios. </w:t>
      </w:r>
    </w:p>
    <w:p w14:paraId="02A4B3DC"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En cuanto al “</w:t>
      </w:r>
      <w:r w:rsidRPr="005577B8">
        <w:rPr>
          <w:rFonts w:ascii="HP Simplified" w:hAnsi="HP Simplified"/>
          <w:i/>
          <w:sz w:val="24"/>
          <w:szCs w:val="24"/>
        </w:rPr>
        <w:t>Interés público</w:t>
      </w:r>
      <w:r w:rsidRPr="005577B8">
        <w:rPr>
          <w:rFonts w:ascii="HP Simplified" w:hAnsi="HP Simplified"/>
          <w:sz w:val="24"/>
          <w:szCs w:val="24"/>
        </w:rPr>
        <w:t>”, no se aprecia ni viene justificado en este expediente, pues no aparece vinculado a un “</w:t>
      </w:r>
      <w:r w:rsidRPr="005577B8">
        <w:rPr>
          <w:rFonts w:ascii="HP Simplified" w:hAnsi="HP Simplified"/>
          <w:i/>
          <w:sz w:val="24"/>
          <w:szCs w:val="24"/>
        </w:rPr>
        <w:t>servicio público”</w:t>
      </w:r>
      <w:r w:rsidRPr="005577B8">
        <w:rPr>
          <w:rFonts w:ascii="HP Simplified" w:hAnsi="HP Simplified"/>
          <w:sz w:val="24"/>
          <w:szCs w:val="24"/>
        </w:rPr>
        <w:t xml:space="preserve"> sino a la explotación privada lucrativa por una empresa. Es patente que el objetivo aquí es el ánimo de lucro, desde el momento que se proyecta la evacuación de la electricidad producida y una producción desmesurada respecto a las necesidades eléctricas que la zona plantea. Otra cuestión sería que el objetivo fuera proporcionar con eficiencia y menor impacto, energía limpia, renovable y barata a los pueblos del entorno, para lo cual no se necesitaría utilizar 100 Ha de terreno. </w:t>
      </w:r>
    </w:p>
    <w:p w14:paraId="0394AEA8" w14:textId="77777777" w:rsidR="005577B8" w:rsidRPr="005577B8" w:rsidRDefault="005577B8" w:rsidP="005577B8">
      <w:pPr>
        <w:spacing w:before="240" w:after="0"/>
        <w:jc w:val="both"/>
        <w:rPr>
          <w:rFonts w:ascii="HP Simplified" w:hAnsi="HP Simplified"/>
          <w:sz w:val="24"/>
          <w:szCs w:val="24"/>
        </w:rPr>
      </w:pPr>
      <w:r w:rsidRPr="005577B8">
        <w:rPr>
          <w:rFonts w:ascii="HP Simplified" w:hAnsi="HP Simplified"/>
          <w:sz w:val="24"/>
          <w:szCs w:val="24"/>
        </w:rPr>
        <w:t>Respecto al 2º aspecto que podría otorgarle interés público - “</w:t>
      </w:r>
      <w:r w:rsidRPr="005577B8">
        <w:rPr>
          <w:rFonts w:ascii="HP Simplified" w:hAnsi="HP Simplified"/>
          <w:i/>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 -</w:t>
      </w:r>
      <w:r w:rsidRPr="005577B8">
        <w:rPr>
          <w:rFonts w:ascii="HP Simplified" w:hAnsi="HP Simplified"/>
          <w:sz w:val="24"/>
          <w:szCs w:val="24"/>
        </w:rPr>
        <w:t xml:space="preserve">, no se encuentra probada dicha necesidad. Por donde debe comenzarse el despliegue de renovables es por las zonas de menor impacto como tejados, red viaria, ferrocarril, escombreras, suelos industriales degradados, por ejemplo, explotaciones a cielo abierto, etc., y reglamentar medidas para dar cumplimiento a esa preferencia de menor </w:t>
      </w:r>
      <w:r w:rsidRPr="005577B8">
        <w:rPr>
          <w:rFonts w:ascii="HP Simplified" w:hAnsi="HP Simplified"/>
          <w:sz w:val="24"/>
          <w:szCs w:val="24"/>
        </w:rPr>
        <w:lastRenderedPageBreak/>
        <w:t>impacto. Y el propio Ministerio reconoce en su hoja de ruta un potencial de 169 GW para los tejados: “</w:t>
      </w:r>
      <w:r w:rsidRPr="005577B8">
        <w:rPr>
          <w:rFonts w:ascii="HP Simplified" w:hAnsi="HP Simplified"/>
          <w:i/>
          <w:sz w:val="24"/>
          <w:szCs w:val="24"/>
        </w:rPr>
        <w:t>El estudio obtiene un potencial técnico en el escenario objetivo a 2030 de 71 GW en cubiertas y 98 GW en fachadas, alcanzando por tanto un potencial técnico de 169 GW</w:t>
      </w:r>
      <w:r w:rsidRPr="005577B8">
        <w:rPr>
          <w:rFonts w:ascii="HP Simplified" w:hAnsi="HP Simplified"/>
          <w:sz w:val="24"/>
          <w:szCs w:val="24"/>
        </w:rPr>
        <w:t>”</w:t>
      </w:r>
      <w:hyperlink r:id="rId7">
        <w:r w:rsidRPr="005577B8">
          <w:rPr>
            <w:rFonts w:ascii="HP Simplified" w:hAnsi="HP Simplified"/>
            <w:sz w:val="24"/>
            <w:szCs w:val="24"/>
          </w:rPr>
          <w:t xml:space="preserve"> </w:t>
        </w:r>
      </w:hyperlink>
    </w:p>
    <w:p w14:paraId="79FD0B31" w14:textId="77777777" w:rsidR="005577B8" w:rsidRPr="005577B8" w:rsidRDefault="005577B8" w:rsidP="005577B8">
      <w:pPr>
        <w:spacing w:before="240" w:after="0"/>
        <w:jc w:val="both"/>
        <w:rPr>
          <w:rFonts w:ascii="HP Simplified" w:hAnsi="HP Simplified"/>
          <w:sz w:val="24"/>
          <w:szCs w:val="24"/>
        </w:rPr>
      </w:pPr>
      <w:hyperlink r:id="rId8" w:history="1">
        <w:r w:rsidRPr="005577B8">
          <w:rPr>
            <w:rStyle w:val="Hipervnculo"/>
            <w:rFonts w:ascii="HP Simplified" w:hAnsi="HP Simplified"/>
            <w:sz w:val="24"/>
            <w:szCs w:val="24"/>
          </w:rPr>
          <w:t>https://www.miteco.gob.es/es/ministerio/planes-estrategias/hoja-ruta-autoconsumo/hojaderutaautoconsumo_tcm30-534411.pdf</w:t>
        </w:r>
      </w:hyperlink>
    </w:p>
    <w:p w14:paraId="7BA3556B" w14:textId="77777777" w:rsidR="005577B8" w:rsidRPr="005577B8" w:rsidRDefault="005577B8" w:rsidP="005577B8">
      <w:pPr>
        <w:spacing w:before="240" w:after="0"/>
        <w:jc w:val="both"/>
        <w:rPr>
          <w:rFonts w:ascii="HP Simplified" w:hAnsi="HP Simplified"/>
          <w:sz w:val="24"/>
          <w:szCs w:val="24"/>
        </w:rPr>
      </w:pPr>
      <w:r w:rsidRPr="005577B8">
        <w:rPr>
          <w:rFonts w:ascii="HP Simplified" w:hAnsi="HP Simplified"/>
          <w:sz w:val="24"/>
          <w:szCs w:val="24"/>
        </w:rPr>
        <w:t xml:space="preserve">Además, no se da tal necesidad porque no está justificada la autorización de más concesiones que los 59 GW previstos en el Plan Estratégico requerido por la Ley 21/2013, de 9 de diciembre, de evaluación ambiental, ya que el Plan Nacional Integrado de Energía y Clima (PNIEC) señala en su </w:t>
      </w:r>
      <w:r w:rsidRPr="005577B8">
        <w:rPr>
          <w:rFonts w:ascii="HP Simplified" w:hAnsi="HP Simplified"/>
          <w:i/>
          <w:sz w:val="24"/>
          <w:szCs w:val="24"/>
        </w:rPr>
        <w:t>“Medida 1.1. Desarrollo de nuevas instalaciones de generación eléctrica con renovables: a) Descripción: Durante el periodo 2021-2030 se prevé la instalación de una capacidad adicional de generación eléctrica con renovables de 59 GW”</w:t>
      </w:r>
      <w:r w:rsidRPr="005577B8">
        <w:rPr>
          <w:rFonts w:ascii="HP Simplified" w:hAnsi="HP Simplified"/>
          <w:sz w:val="24"/>
          <w:szCs w:val="24"/>
        </w:rPr>
        <w:t xml:space="preserve">, los cuales ya han sido sobrepasados a nivel nacional. El PNIEC en su Declaración Ambiental Estratégica, señala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escasa entidad, y no para un uso industrial masivo. Así dicha Declaración Ambiental Estratégica considera fundamental la participación ciudadana y establece que lo indicado es: </w:t>
      </w:r>
    </w:p>
    <w:p w14:paraId="4410D9E4"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 xml:space="preserve">- “su integración en espacios urbanos e industriales;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 </w:t>
      </w:r>
    </w:p>
    <w:p w14:paraId="5583C895"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 xml:space="preserve">- “El despliegue de instalaciones de energías renovables en el territorio se realizará preferentemente sobre suelos degradados y poco aptos para el cultivo, preservándose de su ocupación los suelos con buena capacidad agrológica, así como los lugares de interés geológico.” </w:t>
      </w:r>
    </w:p>
    <w:p w14:paraId="3BB2E448"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 xml:space="preserve">- “Se evitará el trazado de líneas eléctricas por zonas de alto valor ornitológico y forestal, y en las proximidades de masa de agua que son utilizadas por avifauna (marjales, humedales, lagunas, embalses, etc.). </w:t>
      </w:r>
    </w:p>
    <w:p w14:paraId="58EC6410"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 xml:space="preserve">- “En la ocupación de montes de utilidad pública por instalaciones de energía renovable se deberá justificar la compatibilidad del nuevo uso industrial con el mantenimiento de las funciones del monte que han motivado su declaración (defensa frente inundaciones, regulación del régimen hidrológico, uso recreativo, conservación de la naturaleza, paisaje, etc.).” </w:t>
      </w:r>
    </w:p>
    <w:p w14:paraId="7FC7A5B5"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 xml:space="preserve">- “Se recomienda a nivel estratégico profundizar en el estudio del impacto que sobre los territorios y la población puede producir el cambio del modelo productivo derivado del despliegue de energías renovables y el abandono de los aprovechamientos tradicionales que puede provocar un efecto acumulativo sobre el desempleo rural y la despoblación.” </w:t>
      </w:r>
    </w:p>
    <w:p w14:paraId="292D002D" w14:textId="77777777" w:rsidR="005577B8" w:rsidRPr="005577B8" w:rsidRDefault="005577B8" w:rsidP="005577B8">
      <w:pPr>
        <w:spacing w:after="0"/>
        <w:jc w:val="both"/>
        <w:rPr>
          <w:rFonts w:ascii="HP Simplified" w:hAnsi="HP Simplified"/>
          <w:i/>
          <w:sz w:val="24"/>
          <w:szCs w:val="24"/>
        </w:rPr>
      </w:pPr>
    </w:p>
    <w:p w14:paraId="3E6C75B8"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Tampoco se da el caso de “</w:t>
      </w:r>
      <w:r w:rsidRPr="005577B8">
        <w:rPr>
          <w:rFonts w:ascii="HP Simplified" w:hAnsi="HP Simplified"/>
          <w:i/>
          <w:sz w:val="24"/>
          <w:szCs w:val="24"/>
        </w:rPr>
        <w:t>3.º Por estar vinculados a la producción agropecuaria</w:t>
      </w:r>
      <w:r w:rsidRPr="005577B8">
        <w:rPr>
          <w:rFonts w:ascii="HP Simplified" w:hAnsi="HP Simplified"/>
          <w:sz w:val="24"/>
          <w:szCs w:val="24"/>
        </w:rPr>
        <w:t>” ni el “</w:t>
      </w:r>
      <w:r w:rsidRPr="005577B8">
        <w:rPr>
          <w:rFonts w:ascii="HP Simplified" w:hAnsi="HP Simplified"/>
          <w:i/>
          <w:sz w:val="24"/>
          <w:szCs w:val="24"/>
        </w:rPr>
        <w:t xml:space="preserve">4.º Por la conveniencia de regularizar y consolidar los asentamientos irregulares, y de </w:t>
      </w:r>
      <w:r w:rsidRPr="005577B8">
        <w:rPr>
          <w:rFonts w:ascii="HP Simplified" w:hAnsi="HP Simplified"/>
          <w:i/>
          <w:sz w:val="24"/>
          <w:szCs w:val="24"/>
        </w:rPr>
        <w:lastRenderedPageBreak/>
        <w:t>dotarles con los servicios necesarios</w:t>
      </w:r>
      <w:r w:rsidRPr="005577B8">
        <w:rPr>
          <w:rFonts w:ascii="HP Simplified" w:hAnsi="HP Simplified"/>
          <w:sz w:val="24"/>
          <w:szCs w:val="24"/>
        </w:rPr>
        <w:t>” y, desde luego, no se da una “</w:t>
      </w:r>
      <w:r w:rsidRPr="005577B8">
        <w:rPr>
          <w:rFonts w:ascii="HP Simplified" w:hAnsi="HP Simplified"/>
          <w:i/>
          <w:sz w:val="24"/>
          <w:szCs w:val="24"/>
        </w:rPr>
        <w:t>Conformidad con la naturaleza rústica de los terrenos</w:t>
      </w:r>
      <w:r w:rsidRPr="005577B8">
        <w:rPr>
          <w:rFonts w:ascii="HP Simplified" w:hAnsi="HP Simplified"/>
          <w:sz w:val="24"/>
          <w:szCs w:val="24"/>
        </w:rPr>
        <w:t xml:space="preserve">”, pues provocará la tala masiva de una gran masa forestal, que es, sin duda, uno de los valores naturales protegidos por la calificación del suelo como rústico forestal. </w:t>
      </w:r>
    </w:p>
    <w:p w14:paraId="61ECF699"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Por lo tanto, no encontramos una </w:t>
      </w:r>
      <w:r w:rsidRPr="005577B8">
        <w:rPr>
          <w:rFonts w:ascii="HP Simplified" w:hAnsi="HP Simplified"/>
          <w:i/>
          <w:sz w:val="24"/>
          <w:szCs w:val="24"/>
        </w:rPr>
        <w:t>“compatibilidad con los valores protegidos por la legislación sectorial vinculados a la utilización racional de los recursos naturales”</w:t>
      </w:r>
      <w:r w:rsidRPr="005577B8">
        <w:rPr>
          <w:rFonts w:ascii="HP Simplified" w:hAnsi="HP Simplified"/>
          <w:sz w:val="24"/>
          <w:szCs w:val="24"/>
        </w:rPr>
        <w:t xml:space="preserve">.  Entre los planes del sector forestal no se halla la tala indiscriminada, y se contraviene todos los citados aspectos sobre desarrollo territorial. Por otro lado, no se respeta tampoco la </w:t>
      </w:r>
      <w:r w:rsidRPr="005577B8">
        <w:rPr>
          <w:rFonts w:ascii="HP Simplified" w:hAnsi="HP Simplified"/>
          <w:i/>
          <w:sz w:val="24"/>
          <w:szCs w:val="24"/>
        </w:rPr>
        <w:t>utilización racional de los recursos</w:t>
      </w:r>
      <w:r w:rsidRPr="005577B8">
        <w:rPr>
          <w:rFonts w:ascii="HP Simplified" w:hAnsi="HP Simplified"/>
          <w:sz w:val="24"/>
          <w:szCs w:val="24"/>
        </w:rPr>
        <w:t>, dado la importancia de los sumideros y los espacios verdes señalada por La Ley de Cambio Climático y de Transición Energética.</w:t>
      </w:r>
    </w:p>
    <w:p w14:paraId="5ABD34DB" w14:textId="77777777" w:rsidR="005577B8" w:rsidRPr="005577B8" w:rsidRDefault="005577B8" w:rsidP="005577B8">
      <w:pPr>
        <w:jc w:val="both"/>
        <w:rPr>
          <w:rFonts w:ascii="HP Simplified" w:hAnsi="HP Simplified"/>
          <w:sz w:val="24"/>
          <w:szCs w:val="24"/>
        </w:rPr>
      </w:pPr>
    </w:p>
    <w:p w14:paraId="27A19744" w14:textId="77777777" w:rsidR="005577B8" w:rsidRPr="005577B8" w:rsidRDefault="005577B8" w:rsidP="005577B8">
      <w:pPr>
        <w:spacing w:before="240"/>
        <w:jc w:val="both"/>
        <w:rPr>
          <w:rFonts w:ascii="HP Simplified" w:hAnsi="HP Simplified"/>
          <w:b/>
          <w:sz w:val="24"/>
          <w:szCs w:val="24"/>
        </w:rPr>
      </w:pPr>
      <w:r w:rsidRPr="005577B8">
        <w:rPr>
          <w:rFonts w:ascii="HP Simplified" w:hAnsi="HP Simplified"/>
          <w:b/>
          <w:sz w:val="24"/>
          <w:szCs w:val="24"/>
        </w:rPr>
        <w:t>Alegación cuarta - ATENTA CONTRA LA UTILIZACIÓN RACIONAL DE LOS RECURSOS Y LA LEY DE CAMBIO CLIMÁTICO Y TRANSICIÓN ENERGÉTICA.</w:t>
      </w:r>
    </w:p>
    <w:p w14:paraId="7D34E025" w14:textId="77777777" w:rsidR="005577B8" w:rsidRPr="005577B8" w:rsidRDefault="005577B8" w:rsidP="005577B8">
      <w:pPr>
        <w:spacing w:before="240"/>
        <w:jc w:val="both"/>
        <w:rPr>
          <w:rFonts w:ascii="HP Simplified" w:hAnsi="HP Simplified"/>
          <w:sz w:val="24"/>
          <w:szCs w:val="24"/>
        </w:rPr>
      </w:pPr>
      <w:r w:rsidRPr="005577B8">
        <w:rPr>
          <w:rFonts w:ascii="HP Simplified" w:hAnsi="HP Simplified"/>
          <w:sz w:val="24"/>
          <w:szCs w:val="24"/>
        </w:rPr>
        <w:t xml:space="preserve">La Ley 7/2021, de 20 de mayo, DE CAMBIO CLIMÁTICO Y TRANSICIÓN ENERGÉTICA exige en su artículo 21.2. </w:t>
      </w:r>
      <w:r w:rsidRPr="005577B8">
        <w:rPr>
          <w:rFonts w:ascii="HP Simplified" w:hAnsi="HP Simplified"/>
          <w:i/>
          <w:sz w:val="24"/>
          <w:szCs w:val="24"/>
        </w:rPr>
        <w:t>“Para garantizar que las nuevas instalaciones de producción energética a partir de las fuentes de energía renovable no producen un impacto severo sobre la biodiversidad y otros valores naturales, se establecerá una zonificación que identifique zonas de sensibilidad y exclusión por su importancia para la biodiversidad, conectividad y provisión de servicios ecosistémicos, así como sobre otros valores ambientales. A tal fin el Ministerio para la Transición Ecológica y el Reto Demográfico elaborará y actualizará periódicamente una herramienta cartográfica que refleje esa zonificación, y velará, en coordinación con las Comunidades Autónomas, para que el despliegue de los proyectos de energías renovables se lleve a cabo, preferentemente, en emplazamientos con menor impacto.”</w:t>
      </w:r>
    </w:p>
    <w:p w14:paraId="7087E07A" w14:textId="77777777" w:rsidR="005577B8" w:rsidRPr="005577B8" w:rsidRDefault="005577B8" w:rsidP="005577B8">
      <w:pPr>
        <w:spacing w:after="0"/>
        <w:jc w:val="both"/>
        <w:rPr>
          <w:rFonts w:ascii="HP Simplified" w:hAnsi="HP Simplified"/>
          <w:sz w:val="24"/>
          <w:szCs w:val="24"/>
        </w:rPr>
      </w:pPr>
      <w:r w:rsidRPr="005577B8">
        <w:rPr>
          <w:rFonts w:ascii="HP Simplified" w:hAnsi="HP Simplified"/>
          <w:sz w:val="24"/>
          <w:szCs w:val="24"/>
        </w:rPr>
        <w:t xml:space="preserve">En ningún momento lo enuncia con carácter orientativo si no prescriptivo; requisito para el despliegue en renovables que por esta Ley se lleva a cabo para enfrentar el Cambio Climático, en vez de para agravarlo. Además, se alude al menor impacto como principio orientador, y de esa forma la Ley de Cambio Climático y Transición Energética consagra el principio de menor impacto, de la mano de los principios rectores de esta Ley específica en la materia, señalados en Artículo 2: </w:t>
      </w:r>
    </w:p>
    <w:p w14:paraId="27BB9E09"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“a) Desarrollo sostenible.</w:t>
      </w:r>
    </w:p>
    <w:p w14:paraId="63AA8088"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b) Descarbonización de la economía española, entendiendo por tal la consecución de un modelo socioeconómico sin emisiones de gases de efecto invernadero.</w:t>
      </w:r>
    </w:p>
    <w:p w14:paraId="1F11C344"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c) Protección del medio ambiente, preservación de la biodiversidad, y aplicación del principio «quien contamina, paga</w:t>
      </w:r>
      <w:proofErr w:type="gramStart"/>
      <w:r w:rsidRPr="005577B8">
        <w:rPr>
          <w:rFonts w:ascii="HP Simplified" w:hAnsi="HP Simplified"/>
          <w:i/>
          <w:sz w:val="24"/>
          <w:szCs w:val="24"/>
        </w:rPr>
        <w:t>»..</w:t>
      </w:r>
      <w:proofErr w:type="gramEnd"/>
      <w:r w:rsidRPr="005577B8">
        <w:rPr>
          <w:rFonts w:ascii="HP Simplified" w:hAnsi="HP Simplified"/>
          <w:i/>
          <w:sz w:val="24"/>
          <w:szCs w:val="24"/>
        </w:rPr>
        <w:t>”</w:t>
      </w:r>
    </w:p>
    <w:p w14:paraId="077CC3B9" w14:textId="77777777" w:rsidR="005577B8" w:rsidRPr="005577B8" w:rsidRDefault="005577B8" w:rsidP="005577B8">
      <w:pPr>
        <w:spacing w:after="0"/>
        <w:jc w:val="both"/>
        <w:rPr>
          <w:rFonts w:ascii="HP Simplified" w:hAnsi="HP Simplified"/>
          <w:i/>
          <w:sz w:val="24"/>
          <w:szCs w:val="24"/>
        </w:rPr>
      </w:pPr>
    </w:p>
    <w:p w14:paraId="586D56A3"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sz w:val="24"/>
          <w:szCs w:val="24"/>
        </w:rPr>
        <w:t xml:space="preserve">Por Ley el Ministerio debe entonces, en coordinación con las Comunidades Autónomas, determinar y actualizar: </w:t>
      </w:r>
      <w:r w:rsidRPr="005577B8">
        <w:rPr>
          <w:rFonts w:ascii="HP Simplified" w:hAnsi="HP Simplified"/>
          <w:i/>
          <w:sz w:val="24"/>
          <w:szCs w:val="24"/>
        </w:rPr>
        <w:t>a) zonas de sensibilidad, b) zonas de exclusión y c) medidas que garanticen el menor impacto</w:t>
      </w:r>
      <w:r w:rsidRPr="005577B8">
        <w:rPr>
          <w:rFonts w:ascii="HP Simplified" w:hAnsi="HP Simplified"/>
          <w:sz w:val="24"/>
          <w:szCs w:val="24"/>
        </w:rPr>
        <w:t>, con los criterios señalados de:</w:t>
      </w:r>
    </w:p>
    <w:p w14:paraId="75A1A186"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1.</w:t>
      </w:r>
      <w:r w:rsidRPr="005577B8">
        <w:rPr>
          <w:rFonts w:ascii="HP Simplified" w:hAnsi="HP Simplified"/>
          <w:i/>
          <w:sz w:val="24"/>
          <w:szCs w:val="24"/>
        </w:rPr>
        <w:tab/>
        <w:t>Biodiversidad</w:t>
      </w:r>
    </w:p>
    <w:p w14:paraId="54BE8A9D"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lastRenderedPageBreak/>
        <w:t>2.</w:t>
      </w:r>
      <w:r w:rsidRPr="005577B8">
        <w:rPr>
          <w:rFonts w:ascii="HP Simplified" w:hAnsi="HP Simplified"/>
          <w:i/>
          <w:sz w:val="24"/>
          <w:szCs w:val="24"/>
        </w:rPr>
        <w:tab/>
        <w:t>Conectividad</w:t>
      </w:r>
    </w:p>
    <w:p w14:paraId="2CD88978"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3.</w:t>
      </w:r>
      <w:r w:rsidRPr="005577B8">
        <w:rPr>
          <w:rFonts w:ascii="HP Simplified" w:hAnsi="HP Simplified"/>
          <w:i/>
          <w:sz w:val="24"/>
          <w:szCs w:val="24"/>
        </w:rPr>
        <w:tab/>
        <w:t>Provisión de servicios ecosistémicos</w:t>
      </w:r>
    </w:p>
    <w:p w14:paraId="0A1E91AB" w14:textId="77777777" w:rsidR="005577B8" w:rsidRPr="005577B8" w:rsidRDefault="005577B8" w:rsidP="005577B8">
      <w:pPr>
        <w:spacing w:after="0"/>
        <w:jc w:val="both"/>
        <w:rPr>
          <w:rFonts w:ascii="HP Simplified" w:hAnsi="HP Simplified"/>
          <w:i/>
          <w:sz w:val="24"/>
          <w:szCs w:val="24"/>
        </w:rPr>
      </w:pPr>
      <w:r w:rsidRPr="005577B8">
        <w:rPr>
          <w:rFonts w:ascii="HP Simplified" w:hAnsi="HP Simplified"/>
          <w:i/>
          <w:sz w:val="24"/>
          <w:szCs w:val="24"/>
        </w:rPr>
        <w:t>4.</w:t>
      </w:r>
      <w:r w:rsidRPr="005577B8">
        <w:rPr>
          <w:rFonts w:ascii="HP Simplified" w:hAnsi="HP Simplified"/>
          <w:i/>
          <w:sz w:val="24"/>
          <w:szCs w:val="24"/>
        </w:rPr>
        <w:tab/>
        <w:t>Otros valores ambientales</w:t>
      </w:r>
    </w:p>
    <w:p w14:paraId="51C71520" w14:textId="77777777" w:rsidR="005577B8" w:rsidRPr="005577B8" w:rsidRDefault="005577B8" w:rsidP="005577B8">
      <w:pPr>
        <w:spacing w:after="0"/>
        <w:jc w:val="both"/>
        <w:rPr>
          <w:rFonts w:ascii="HP Simplified" w:hAnsi="HP Simplified"/>
          <w:i/>
          <w:sz w:val="24"/>
          <w:szCs w:val="24"/>
        </w:rPr>
      </w:pPr>
    </w:p>
    <w:p w14:paraId="5D825BD1"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Como resultado, insistimos en que por donde debe comenzarse el despliegue de renovables es por las zonas de menor impacto como tejados, red viaria, ferrocarril, escombreras, suelos industriales degradados, por ejemplo, explotaciones a cielo abierto, etc., y reglamentar medidas para dar cumplimiento a esa preferencia de menor impacto. </w:t>
      </w:r>
    </w:p>
    <w:p w14:paraId="6D09500B"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t xml:space="preserve">El presente proyecto se tramita para estos terrenos concretos sin saber cuál es la causa que ha llevado a plantearlo en estas parcelas concretas sin analizar otras zonas del Bierzo con mucho menor impacto. Sin perjuicio de lo anterior hay que destacar que en nuestra comunidad hay zonas que dispondrían de un escaso impacto a este proyecto y que a nivel nacional habría zonas con un impacto nulo. </w:t>
      </w:r>
    </w:p>
    <w:p w14:paraId="19509E26" w14:textId="77777777" w:rsidR="005577B8" w:rsidRPr="005577B8" w:rsidRDefault="005577B8" w:rsidP="005577B8">
      <w:pPr>
        <w:jc w:val="both"/>
        <w:rPr>
          <w:rFonts w:ascii="HP Simplified" w:hAnsi="HP Simplified"/>
          <w:i/>
          <w:sz w:val="24"/>
          <w:szCs w:val="24"/>
        </w:rPr>
      </w:pPr>
      <w:r w:rsidRPr="005577B8">
        <w:rPr>
          <w:rFonts w:ascii="HP Simplified" w:hAnsi="HP Simplified"/>
          <w:sz w:val="24"/>
          <w:szCs w:val="24"/>
        </w:rPr>
        <w:t xml:space="preserve">Así mismo, la citada Ley requiere, en su Artículo 25 y siguiente: </w:t>
      </w:r>
      <w:r w:rsidRPr="005577B8">
        <w:rPr>
          <w:rFonts w:ascii="HP Simplified" w:hAnsi="HP Simplified"/>
          <w:i/>
          <w:sz w:val="24"/>
          <w:szCs w:val="24"/>
        </w:rPr>
        <w:t>“Desarrollo rural: política agraria, política forestal y energías renovables.</w:t>
      </w:r>
    </w:p>
    <w:p w14:paraId="44CFDDDD" w14:textId="77777777" w:rsidR="005577B8" w:rsidRPr="005577B8" w:rsidRDefault="005577B8" w:rsidP="005577B8">
      <w:pPr>
        <w:jc w:val="both"/>
        <w:rPr>
          <w:rFonts w:ascii="HP Simplified" w:hAnsi="HP Simplified"/>
          <w:i/>
          <w:sz w:val="24"/>
          <w:szCs w:val="24"/>
        </w:rPr>
      </w:pPr>
      <w:r w:rsidRPr="005577B8">
        <w:rPr>
          <w:rFonts w:ascii="HP Simplified" w:hAnsi="HP Simplified"/>
          <w:i/>
          <w:sz w:val="24"/>
          <w:szCs w:val="24"/>
        </w:rPr>
        <w:t>El Gobierno incorporará en la aplicación de la Política Agraria Común, así como en otras estrategias, planes y programas en materia de política agraria y de desarrollo rural, y en el Plan Forestal Español, medidas encaminadas a reducir la vulnerabilidad al cambio climático de los suelos agrícolas, de los montes y de los suelos forestales y para facilitar la preservación de los mismos, entre ellas, la elaboración de un mapa de vulnerabilidad, así como la evaluación y promoción de sistemas agrícolas y prácticas de gestión forestal sostenibles para aumentar su resiliencia frente al cambio climático, que fomentarán en todo caso las sinergias con la reducción de emisiones de gases de efecto invernadero en estos ecosistemas.</w:t>
      </w:r>
    </w:p>
    <w:p w14:paraId="757F3AC1" w14:textId="77777777" w:rsidR="005577B8" w:rsidRPr="005577B8" w:rsidRDefault="005577B8" w:rsidP="005577B8">
      <w:pPr>
        <w:jc w:val="both"/>
        <w:rPr>
          <w:rFonts w:ascii="HP Simplified" w:hAnsi="HP Simplified"/>
          <w:i/>
          <w:sz w:val="24"/>
          <w:szCs w:val="24"/>
        </w:rPr>
      </w:pPr>
      <w:r w:rsidRPr="005577B8">
        <w:rPr>
          <w:rFonts w:ascii="HP Simplified" w:hAnsi="HP Simplified"/>
          <w:i/>
          <w:sz w:val="24"/>
          <w:szCs w:val="24"/>
        </w:rPr>
        <w:t>El despliegue de las energías renovables debe llevarse a cabo de manera compatible con la conservación del patrimonio natural y la adecuada ordenación territorial. Para ello, perseguirá revertir parte de la riqueza que genera en el territorio donde se realice el referido despliegue para activar su economía y combatir el declive demográfico.</w:t>
      </w:r>
    </w:p>
    <w:p w14:paraId="2CFDE54B" w14:textId="77777777" w:rsidR="005577B8" w:rsidRPr="005577B8" w:rsidRDefault="005577B8" w:rsidP="005577B8">
      <w:pPr>
        <w:jc w:val="both"/>
        <w:rPr>
          <w:rFonts w:ascii="HP Simplified" w:hAnsi="HP Simplified"/>
          <w:i/>
          <w:sz w:val="24"/>
          <w:szCs w:val="24"/>
        </w:rPr>
      </w:pPr>
      <w:r w:rsidRPr="005577B8">
        <w:rPr>
          <w:rFonts w:ascii="HP Simplified" w:hAnsi="HP Simplified"/>
          <w:i/>
          <w:sz w:val="24"/>
          <w:szCs w:val="24"/>
        </w:rPr>
        <w:t>Artículo 26. Fomento de la capacidad de absorción de los sumideros de carbono.</w:t>
      </w:r>
    </w:p>
    <w:p w14:paraId="2352265F" w14:textId="77777777" w:rsidR="005577B8" w:rsidRPr="005577B8" w:rsidRDefault="005577B8" w:rsidP="005577B8">
      <w:pPr>
        <w:jc w:val="both"/>
        <w:rPr>
          <w:rFonts w:ascii="HP Simplified" w:hAnsi="HP Simplified"/>
          <w:i/>
          <w:sz w:val="24"/>
          <w:szCs w:val="24"/>
        </w:rPr>
      </w:pPr>
      <w:r w:rsidRPr="005577B8">
        <w:rPr>
          <w:rFonts w:ascii="HP Simplified" w:hAnsi="HP Simplified"/>
          <w:i/>
          <w:sz w:val="24"/>
          <w:szCs w:val="24"/>
        </w:rPr>
        <w:t xml:space="preserve">1. Las Administraciones Públicas competentes promoverán la identificación, clasificación, cartografía, aumento y mejora de los sumideros de carbono, incluidos los sumideros de carbono azul definidos por el Grupo Intergubernamental de Expertos sobre el Cambio Climático, así como su evaluación y contabilización a partir de las fuentes de información </w:t>
      </w:r>
      <w:proofErr w:type="gramStart"/>
      <w:r w:rsidRPr="005577B8">
        <w:rPr>
          <w:rFonts w:ascii="HP Simplified" w:hAnsi="HP Simplified"/>
          <w:i/>
          <w:sz w:val="24"/>
          <w:szCs w:val="24"/>
        </w:rPr>
        <w:t>existentes.(</w:t>
      </w:r>
      <w:proofErr w:type="gramEnd"/>
      <w:r w:rsidRPr="005577B8">
        <w:rPr>
          <w:rFonts w:ascii="HP Simplified" w:hAnsi="HP Simplified"/>
          <w:i/>
          <w:sz w:val="24"/>
          <w:szCs w:val="24"/>
        </w:rPr>
        <w:t>…)”</w:t>
      </w:r>
    </w:p>
    <w:p w14:paraId="2196BFDD" w14:textId="77777777" w:rsidR="005577B8" w:rsidRPr="005577B8" w:rsidRDefault="005577B8" w:rsidP="005577B8">
      <w:pPr>
        <w:spacing w:before="240"/>
        <w:jc w:val="both"/>
        <w:rPr>
          <w:rFonts w:ascii="HP Simplified" w:hAnsi="HP Simplified"/>
          <w:sz w:val="24"/>
          <w:szCs w:val="24"/>
          <w:highlight w:val="white"/>
        </w:rPr>
      </w:pPr>
      <w:r w:rsidRPr="005577B8">
        <w:rPr>
          <w:rFonts w:ascii="HP Simplified" w:hAnsi="HP Simplified"/>
          <w:sz w:val="24"/>
          <w:szCs w:val="24"/>
          <w:highlight w:val="white"/>
        </w:rPr>
        <w:t>Sin embargo, este proyecto fotovoltaico afecta a la caza, a la biodiversidad, a la micología, al turismo y, sobre todo, sería dilapidar un importante sumidero de CO2 que tanto contribuye a la mejora del medio ambiente.</w:t>
      </w:r>
    </w:p>
    <w:p w14:paraId="2F4B415A" w14:textId="77777777" w:rsidR="005577B8" w:rsidRPr="005577B8" w:rsidRDefault="005577B8" w:rsidP="005577B8">
      <w:pPr>
        <w:jc w:val="both"/>
        <w:rPr>
          <w:rFonts w:ascii="HP Simplified" w:hAnsi="HP Simplified"/>
          <w:sz w:val="24"/>
          <w:szCs w:val="24"/>
        </w:rPr>
      </w:pPr>
    </w:p>
    <w:p w14:paraId="7516D8C8" w14:textId="77777777" w:rsidR="005577B8" w:rsidRPr="005577B8" w:rsidRDefault="005577B8" w:rsidP="005577B8">
      <w:pPr>
        <w:jc w:val="both"/>
        <w:rPr>
          <w:rFonts w:ascii="HP Simplified" w:hAnsi="HP Simplified"/>
          <w:sz w:val="24"/>
          <w:szCs w:val="24"/>
        </w:rPr>
      </w:pPr>
      <w:r w:rsidRPr="005577B8">
        <w:rPr>
          <w:rFonts w:ascii="HP Simplified" w:hAnsi="HP Simplified"/>
          <w:b/>
          <w:sz w:val="24"/>
          <w:szCs w:val="24"/>
        </w:rPr>
        <w:lastRenderedPageBreak/>
        <w:t>Alegación quinta - INCUMPLIMIENTO DEL DECRETO LEY 2/2022 de fecha 23 de junio de 2022</w:t>
      </w:r>
    </w:p>
    <w:p w14:paraId="08876E9D" w14:textId="77777777" w:rsidR="005577B8" w:rsidRPr="005577B8" w:rsidRDefault="005577B8" w:rsidP="005577B8">
      <w:pPr>
        <w:spacing w:after="160"/>
        <w:jc w:val="both"/>
        <w:rPr>
          <w:rFonts w:ascii="HP Simplified" w:hAnsi="HP Simplified"/>
          <w:sz w:val="24"/>
          <w:szCs w:val="24"/>
        </w:rPr>
      </w:pPr>
      <w:r w:rsidRPr="005577B8">
        <w:rPr>
          <w:rFonts w:ascii="HP Simplified" w:hAnsi="HP Simplified"/>
          <w:sz w:val="24"/>
          <w:szCs w:val="24"/>
        </w:rPr>
        <w:t xml:space="preserve">Este proyecto incumple las condiciones establecidas en el Decreto Ley 2/2022 de fecha 23 de junio de 2022, publicado en el BOCYL </w:t>
      </w:r>
      <w:proofErr w:type="spellStart"/>
      <w:r w:rsidRPr="005577B8">
        <w:rPr>
          <w:rFonts w:ascii="HP Simplified" w:hAnsi="HP Simplified"/>
          <w:sz w:val="24"/>
          <w:szCs w:val="24"/>
        </w:rPr>
        <w:t>nº</w:t>
      </w:r>
      <w:proofErr w:type="spellEnd"/>
      <w:r w:rsidRPr="005577B8">
        <w:rPr>
          <w:rFonts w:ascii="HP Simplified" w:hAnsi="HP Simplified"/>
          <w:sz w:val="24"/>
          <w:szCs w:val="24"/>
        </w:rPr>
        <w:t xml:space="preserve"> 120/2022 de fecha 24 de junio de 2022, en vigor desde el 25 de junio de 2022, por el que adoptan medidas urgentes para la agilización de la gestión de fondos europeos y el impulso de la actividad económica. En su artículo 13 señala los criterios para la autorización de proyectos de energías renovables que consistan en plantas fotovoltaicas y sus infraestructuras auxiliares, estableciendo que no serán autorizables en los terrenos sobre los que se hayan desarrollado zonas regables, bien mediante la transformación de secano a regadío, o bien mediante la modernización de regadíos. El proyecto que nos ocupa afecta en cuanto a las líneas de evacuación a fincas regables pertenecientes a la Comunidad de Regantes del Canal Alto del Bierzo y por tanto no puede ser autorizado.</w:t>
      </w:r>
    </w:p>
    <w:p w14:paraId="4EAB3D8C" w14:textId="77777777" w:rsidR="005577B8" w:rsidRPr="005577B8" w:rsidRDefault="005577B8" w:rsidP="005577B8">
      <w:pPr>
        <w:spacing w:after="160"/>
        <w:jc w:val="both"/>
        <w:rPr>
          <w:rFonts w:ascii="HP Simplified" w:eastAsia="Arial" w:hAnsi="HP Simplified" w:cs="Arial"/>
          <w:i/>
          <w:sz w:val="24"/>
          <w:szCs w:val="24"/>
        </w:rPr>
      </w:pPr>
      <w:r w:rsidRPr="005577B8">
        <w:rPr>
          <w:rFonts w:ascii="HP Simplified" w:hAnsi="HP Simplified"/>
          <w:sz w:val="24"/>
          <w:szCs w:val="24"/>
        </w:rPr>
        <w:t xml:space="preserve">El mismo decreto anterior establece en su artículo 13 dedicado a los </w:t>
      </w:r>
      <w:r w:rsidRPr="005577B8">
        <w:rPr>
          <w:rFonts w:ascii="HP Simplified" w:hAnsi="HP Simplified"/>
          <w:i/>
          <w:sz w:val="24"/>
          <w:szCs w:val="24"/>
        </w:rPr>
        <w:t>“Criterios para la autorización de proyectos de energías renovables” que:</w:t>
      </w:r>
    </w:p>
    <w:p w14:paraId="1A650CC3" w14:textId="77777777" w:rsidR="005577B8" w:rsidRPr="005577B8" w:rsidRDefault="005577B8" w:rsidP="005577B8">
      <w:pPr>
        <w:spacing w:after="160"/>
        <w:ind w:firstLine="708"/>
        <w:jc w:val="both"/>
        <w:rPr>
          <w:rFonts w:ascii="HP Simplified" w:hAnsi="HP Simplified"/>
          <w:i/>
          <w:sz w:val="24"/>
          <w:szCs w:val="24"/>
        </w:rPr>
      </w:pPr>
      <w:r w:rsidRPr="005577B8">
        <w:rPr>
          <w:rFonts w:ascii="HP Simplified" w:hAnsi="HP Simplified"/>
          <w:sz w:val="24"/>
          <w:szCs w:val="24"/>
        </w:rPr>
        <w:t>“</w:t>
      </w:r>
      <w:r w:rsidRPr="005577B8">
        <w:rPr>
          <w:rFonts w:ascii="HP Simplified" w:hAnsi="HP Simplified"/>
          <w:i/>
          <w:sz w:val="24"/>
          <w:szCs w:val="24"/>
        </w:rPr>
        <w:t>2.- Las instalaciones de generación de energías renovables que consistan en plantas fotovoltaicas y sus infraestructuras auxiliares no serán autorizables en:</w:t>
      </w:r>
    </w:p>
    <w:p w14:paraId="31A753B5" w14:textId="77777777" w:rsidR="005577B8" w:rsidRPr="005577B8" w:rsidRDefault="005577B8" w:rsidP="005577B8">
      <w:pPr>
        <w:spacing w:after="160"/>
        <w:ind w:firstLine="708"/>
        <w:jc w:val="both"/>
        <w:rPr>
          <w:rFonts w:ascii="HP Simplified" w:hAnsi="HP Simplified"/>
          <w:i/>
          <w:sz w:val="24"/>
          <w:szCs w:val="24"/>
        </w:rPr>
      </w:pPr>
      <w:r w:rsidRPr="005577B8">
        <w:rPr>
          <w:rFonts w:ascii="HP Simplified" w:hAnsi="HP Simplified"/>
          <w:i/>
          <w:sz w:val="24"/>
          <w:szCs w:val="24"/>
        </w:rPr>
        <w:t>(…)</w:t>
      </w:r>
    </w:p>
    <w:p w14:paraId="7B430970" w14:textId="77777777" w:rsidR="005577B8" w:rsidRPr="005577B8" w:rsidRDefault="005577B8" w:rsidP="005577B8">
      <w:pPr>
        <w:spacing w:after="160"/>
        <w:ind w:firstLine="708"/>
        <w:jc w:val="both"/>
        <w:rPr>
          <w:rFonts w:ascii="HP Simplified" w:hAnsi="HP Simplified"/>
          <w:i/>
          <w:sz w:val="24"/>
          <w:szCs w:val="24"/>
        </w:rPr>
      </w:pPr>
      <w:r w:rsidRPr="005577B8">
        <w:rPr>
          <w:rFonts w:ascii="HP Simplified" w:hAnsi="HP Simplified"/>
          <w:i/>
          <w:sz w:val="24"/>
          <w:szCs w:val="24"/>
        </w:rPr>
        <w:t>c) Montes arbolados, independientemente de su titularidad</w:t>
      </w:r>
    </w:p>
    <w:p w14:paraId="55CE00DA" w14:textId="77777777" w:rsidR="005577B8" w:rsidRPr="005577B8" w:rsidRDefault="005577B8" w:rsidP="005577B8">
      <w:pPr>
        <w:spacing w:after="160"/>
        <w:ind w:firstLine="708"/>
        <w:jc w:val="both"/>
        <w:rPr>
          <w:rFonts w:ascii="HP Simplified" w:hAnsi="HP Simplified"/>
          <w:i/>
          <w:sz w:val="24"/>
          <w:szCs w:val="24"/>
        </w:rPr>
      </w:pPr>
      <w:r w:rsidRPr="005577B8">
        <w:rPr>
          <w:rFonts w:ascii="HP Simplified" w:hAnsi="HP Simplified"/>
          <w:i/>
          <w:sz w:val="24"/>
          <w:szCs w:val="24"/>
        </w:rPr>
        <w:t>d) Los terrenos ubicados a menos de 500 metros de un bien de interés cultural.</w:t>
      </w:r>
    </w:p>
    <w:p w14:paraId="5B038C14" w14:textId="77777777" w:rsidR="005577B8" w:rsidRPr="005577B8" w:rsidRDefault="005577B8" w:rsidP="005577B8">
      <w:pPr>
        <w:spacing w:after="160"/>
        <w:ind w:firstLine="708"/>
        <w:jc w:val="both"/>
        <w:rPr>
          <w:rFonts w:ascii="HP Simplified" w:hAnsi="HP Simplified"/>
          <w:i/>
          <w:sz w:val="24"/>
          <w:szCs w:val="24"/>
        </w:rPr>
      </w:pPr>
      <w:r w:rsidRPr="005577B8">
        <w:rPr>
          <w:rFonts w:ascii="HP Simplified" w:hAnsi="HP Simplified"/>
          <w:i/>
          <w:sz w:val="24"/>
          <w:szCs w:val="24"/>
        </w:rPr>
        <w:t>e) Los terrenos ubicados a menos de 500 metros de los núcleos urbanos, midiéndose tal distancia desde el límite del suelo urbano, o en su defecto desde el perímetro del núcleo urbano, hasta el perímetro exterior de la parcela donde se pretenda ubicar el proyecto. Se respetará la misma distancia respecto a centros educativos, centros sanitarios o de atención sociosanitaria y otras instalaciones de servicio público ubicadas en suelo rústico.”</w:t>
      </w:r>
    </w:p>
    <w:p w14:paraId="3221AFC9" w14:textId="77777777" w:rsidR="005577B8" w:rsidRPr="005577B8" w:rsidRDefault="005577B8" w:rsidP="005577B8">
      <w:pPr>
        <w:spacing w:after="160"/>
        <w:ind w:firstLine="708"/>
        <w:jc w:val="both"/>
        <w:rPr>
          <w:rFonts w:ascii="HP Simplified" w:hAnsi="HP Simplified"/>
          <w:sz w:val="24"/>
          <w:szCs w:val="24"/>
        </w:rPr>
      </w:pPr>
      <w:r w:rsidRPr="005577B8">
        <w:rPr>
          <w:rFonts w:ascii="HP Simplified" w:hAnsi="HP Simplified"/>
          <w:sz w:val="24"/>
          <w:szCs w:val="24"/>
        </w:rPr>
        <w:t>Atendiendo a estos criterios, este proyecto debe ser rechazado de inmediato porque:</w:t>
      </w:r>
    </w:p>
    <w:p w14:paraId="516187A9" w14:textId="77777777" w:rsidR="005577B8" w:rsidRPr="005577B8" w:rsidRDefault="005577B8" w:rsidP="005577B8">
      <w:pPr>
        <w:spacing w:after="160"/>
        <w:ind w:firstLine="708"/>
        <w:jc w:val="both"/>
        <w:rPr>
          <w:rFonts w:ascii="HP Simplified" w:hAnsi="HP Simplified"/>
          <w:sz w:val="24"/>
          <w:szCs w:val="24"/>
        </w:rPr>
      </w:pPr>
      <w:r w:rsidRPr="005577B8">
        <w:rPr>
          <w:rFonts w:ascii="HP Simplified" w:hAnsi="HP Simplified"/>
          <w:sz w:val="24"/>
          <w:szCs w:val="24"/>
        </w:rPr>
        <w:t xml:space="preserve">1º.- Está a menos de 500 metros del perímetro del núcleo urbano de la localidad más cercana, que es el pueblo de </w:t>
      </w:r>
      <w:proofErr w:type="spellStart"/>
      <w:r w:rsidRPr="005577B8">
        <w:rPr>
          <w:rFonts w:ascii="HP Simplified" w:hAnsi="HP Simplified"/>
          <w:sz w:val="24"/>
          <w:szCs w:val="24"/>
        </w:rPr>
        <w:t>Sancedo</w:t>
      </w:r>
      <w:proofErr w:type="spellEnd"/>
      <w:r w:rsidRPr="005577B8">
        <w:rPr>
          <w:rFonts w:ascii="HP Simplified" w:hAnsi="HP Simplified"/>
          <w:sz w:val="24"/>
          <w:szCs w:val="24"/>
        </w:rPr>
        <w:t>.</w:t>
      </w:r>
    </w:p>
    <w:p w14:paraId="259E4FD7" w14:textId="77777777" w:rsidR="005577B8" w:rsidRPr="005577B8" w:rsidRDefault="005577B8" w:rsidP="005577B8">
      <w:pPr>
        <w:spacing w:after="160"/>
        <w:ind w:firstLine="708"/>
        <w:jc w:val="both"/>
        <w:rPr>
          <w:rFonts w:ascii="HP Simplified" w:hAnsi="HP Simplified"/>
          <w:sz w:val="24"/>
          <w:szCs w:val="24"/>
        </w:rPr>
      </w:pPr>
      <w:r w:rsidRPr="005577B8">
        <w:rPr>
          <w:rFonts w:ascii="HP Simplified" w:hAnsi="HP Simplified"/>
          <w:sz w:val="24"/>
          <w:szCs w:val="24"/>
        </w:rPr>
        <w:t>2º.- Por otro lado, el proyecto de planta fotovoltaica está asentado íntegramente sobre superficie arbolada, en concreto pinos, con lo que tampoco se cumple lo establecido en el artículo 13.2 c) del mencionado Decreto-Ley 2/2022 que prohíbe la instalación sobre “montes arbolados, independientemente de su titularidad”.</w:t>
      </w:r>
    </w:p>
    <w:p w14:paraId="45699EBB" w14:textId="77777777" w:rsidR="005577B8" w:rsidRPr="005577B8" w:rsidRDefault="005577B8" w:rsidP="005577B8">
      <w:pPr>
        <w:jc w:val="both"/>
        <w:rPr>
          <w:rFonts w:ascii="HP Simplified" w:hAnsi="HP Simplified"/>
          <w:sz w:val="24"/>
          <w:szCs w:val="24"/>
        </w:rPr>
      </w:pPr>
    </w:p>
    <w:p w14:paraId="7FFB4B8A" w14:textId="77777777" w:rsidR="005577B8" w:rsidRPr="005577B8" w:rsidRDefault="005577B8" w:rsidP="005577B8">
      <w:pPr>
        <w:jc w:val="both"/>
        <w:rPr>
          <w:rFonts w:ascii="HP Simplified" w:hAnsi="HP Simplified"/>
          <w:b/>
          <w:sz w:val="24"/>
          <w:szCs w:val="24"/>
        </w:rPr>
      </w:pPr>
      <w:r w:rsidRPr="005577B8">
        <w:rPr>
          <w:rFonts w:ascii="HP Simplified" w:hAnsi="HP Simplified"/>
          <w:b/>
          <w:sz w:val="24"/>
          <w:szCs w:val="24"/>
        </w:rPr>
        <w:t>Alegación sexta - INCUMPLIMIENTO DEL DECRETO 864/1963</w:t>
      </w:r>
    </w:p>
    <w:p w14:paraId="668DE4A4" w14:textId="77777777" w:rsidR="005577B8" w:rsidRPr="005577B8" w:rsidRDefault="005577B8" w:rsidP="005577B8">
      <w:pPr>
        <w:jc w:val="both"/>
        <w:rPr>
          <w:rFonts w:ascii="HP Simplified" w:hAnsi="HP Simplified"/>
          <w:sz w:val="24"/>
          <w:szCs w:val="24"/>
        </w:rPr>
      </w:pPr>
      <w:r w:rsidRPr="005577B8">
        <w:rPr>
          <w:rFonts w:ascii="HP Simplified" w:hAnsi="HP Simplified"/>
          <w:sz w:val="24"/>
          <w:szCs w:val="24"/>
        </w:rPr>
        <w:lastRenderedPageBreak/>
        <w:t xml:space="preserve">El Decreto 864/1963 de 18 de abril publicado en el BOE 101 DE 27 de </w:t>
      </w:r>
      <w:proofErr w:type="gramStart"/>
      <w:r w:rsidRPr="005577B8">
        <w:rPr>
          <w:rFonts w:ascii="HP Simplified" w:hAnsi="HP Simplified"/>
          <w:sz w:val="24"/>
          <w:szCs w:val="24"/>
        </w:rPr>
        <w:t>Abril</w:t>
      </w:r>
      <w:proofErr w:type="gramEnd"/>
      <w:r w:rsidRPr="005577B8">
        <w:rPr>
          <w:rFonts w:ascii="HP Simplified" w:hAnsi="HP Simplified"/>
          <w:sz w:val="24"/>
          <w:szCs w:val="24"/>
        </w:rPr>
        <w:t xml:space="preserve"> de 1963 declara de </w:t>
      </w:r>
      <w:r w:rsidRPr="005577B8">
        <w:rPr>
          <w:rFonts w:ascii="HP Simplified" w:hAnsi="HP Simplified"/>
          <w:b/>
          <w:sz w:val="24"/>
          <w:szCs w:val="24"/>
        </w:rPr>
        <w:t xml:space="preserve">utilidad pública </w:t>
      </w:r>
      <w:r w:rsidRPr="005577B8">
        <w:rPr>
          <w:rFonts w:ascii="HP Simplified" w:hAnsi="HP Simplified"/>
          <w:sz w:val="24"/>
          <w:szCs w:val="24"/>
        </w:rPr>
        <w:t xml:space="preserve">y urgente ejecución la concentración parcelaria de la subzona del Canal Alto del Bierzo. El proyecto que nos ocupa Expte.:27/2022 en el término municipal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ocupa con su línea de evacuación acequias, parcelas y diversas infraestructuras. Dichas acequias, parcelas e infraestructuras diversas, están amparadas por la utilidad pública que les otorga este decreto y no pueden verse afectadas por el presente proyecto.</w:t>
      </w:r>
    </w:p>
    <w:p w14:paraId="6C895CFD" w14:textId="77777777" w:rsidR="005577B8" w:rsidRPr="005577B8" w:rsidRDefault="005577B8" w:rsidP="005577B8">
      <w:pPr>
        <w:jc w:val="both"/>
        <w:rPr>
          <w:rFonts w:ascii="HP Simplified" w:hAnsi="HP Simplified"/>
          <w:color w:val="00B050"/>
          <w:sz w:val="24"/>
          <w:szCs w:val="24"/>
        </w:rPr>
      </w:pPr>
    </w:p>
    <w:p w14:paraId="6CC147F3" w14:textId="77777777" w:rsidR="005577B8" w:rsidRPr="005577B8" w:rsidRDefault="005577B8" w:rsidP="005577B8">
      <w:pPr>
        <w:spacing w:before="240" w:after="240"/>
        <w:jc w:val="center"/>
        <w:rPr>
          <w:rFonts w:ascii="HP Simplified" w:hAnsi="HP Simplified"/>
          <w:b/>
          <w:sz w:val="24"/>
          <w:szCs w:val="24"/>
        </w:rPr>
      </w:pPr>
      <w:r w:rsidRPr="005577B8">
        <w:rPr>
          <w:rFonts w:ascii="HP Simplified" w:hAnsi="HP Simplified"/>
          <w:b/>
          <w:sz w:val="24"/>
          <w:szCs w:val="24"/>
        </w:rPr>
        <w:t>Por todo ello, OTROSÍ SOLICITA:</w:t>
      </w:r>
    </w:p>
    <w:p w14:paraId="4DF220CD" w14:textId="77777777" w:rsidR="005577B8" w:rsidRPr="005577B8" w:rsidRDefault="005577B8" w:rsidP="005577B8">
      <w:pPr>
        <w:spacing w:before="240"/>
        <w:jc w:val="both"/>
        <w:rPr>
          <w:rFonts w:ascii="HP Simplified" w:hAnsi="HP Simplified"/>
          <w:sz w:val="24"/>
          <w:szCs w:val="24"/>
        </w:rPr>
      </w:pPr>
      <w:proofErr w:type="gramStart"/>
      <w:r w:rsidRPr="005577B8">
        <w:rPr>
          <w:rFonts w:ascii="HP Simplified" w:hAnsi="HP Simplified"/>
          <w:sz w:val="24"/>
          <w:szCs w:val="24"/>
        </w:rPr>
        <w:t>Primero.-</w:t>
      </w:r>
      <w:proofErr w:type="gramEnd"/>
      <w:r w:rsidRPr="005577B8">
        <w:rPr>
          <w:rFonts w:ascii="HP Simplified" w:hAnsi="HP Simplified"/>
          <w:sz w:val="24"/>
          <w:szCs w:val="24"/>
        </w:rPr>
        <w:t xml:space="preserve"> El rechazo de la solicitud de autorización de uso excepcional de suelo rústico y licencia urbanística para una planta fotovoltaica, en SAN JUAN DE LA MATA (en diversas parcelas del polígono 27 y 28), en el término municipal de </w:t>
      </w:r>
      <w:proofErr w:type="spellStart"/>
      <w:r w:rsidRPr="005577B8">
        <w:rPr>
          <w:rFonts w:ascii="HP Simplified" w:hAnsi="HP Simplified"/>
          <w:sz w:val="24"/>
          <w:szCs w:val="24"/>
        </w:rPr>
        <w:t>Arganza</w:t>
      </w:r>
      <w:proofErr w:type="spellEnd"/>
      <w:r w:rsidRPr="005577B8">
        <w:rPr>
          <w:rFonts w:ascii="HP Simplified" w:hAnsi="HP Simplified"/>
          <w:sz w:val="24"/>
          <w:szCs w:val="24"/>
        </w:rPr>
        <w:t xml:space="preserve"> (León). </w:t>
      </w:r>
      <w:proofErr w:type="spellStart"/>
      <w:r w:rsidRPr="005577B8">
        <w:rPr>
          <w:rFonts w:ascii="HP Simplified" w:hAnsi="HP Simplified"/>
          <w:sz w:val="24"/>
          <w:szCs w:val="24"/>
        </w:rPr>
        <w:t>Expte</w:t>
      </w:r>
      <w:proofErr w:type="spellEnd"/>
      <w:r w:rsidRPr="005577B8">
        <w:rPr>
          <w:rFonts w:ascii="HP Simplified" w:hAnsi="HP Simplified"/>
          <w:sz w:val="24"/>
          <w:szCs w:val="24"/>
        </w:rPr>
        <w:t xml:space="preserve">.: 27/2022. </w:t>
      </w:r>
    </w:p>
    <w:p w14:paraId="5CE1251F" w14:textId="77777777" w:rsidR="005577B8" w:rsidRPr="005577B8" w:rsidRDefault="005577B8" w:rsidP="005577B8">
      <w:pPr>
        <w:spacing w:before="240" w:after="240"/>
        <w:jc w:val="both"/>
        <w:rPr>
          <w:rFonts w:ascii="HP Simplified" w:hAnsi="HP Simplified"/>
          <w:sz w:val="24"/>
          <w:szCs w:val="24"/>
        </w:rPr>
      </w:pPr>
      <w:proofErr w:type="gramStart"/>
      <w:r w:rsidRPr="005577B8">
        <w:rPr>
          <w:rFonts w:ascii="HP Simplified" w:hAnsi="HP Simplified"/>
          <w:sz w:val="24"/>
          <w:szCs w:val="24"/>
        </w:rPr>
        <w:t>Segundo.-</w:t>
      </w:r>
      <w:proofErr w:type="gramEnd"/>
      <w:r w:rsidRPr="005577B8">
        <w:rPr>
          <w:rFonts w:ascii="HP Simplified" w:hAnsi="HP Simplified"/>
          <w:sz w:val="24"/>
          <w:szCs w:val="24"/>
        </w:rPr>
        <w:t xml:space="preserve"> Que ejercitando el derecho de acceso a la información en materia de Medio Ambiente, según lo previsto en el artículo 10 de la Ley 27/2006, de 18 de julio, tengan a bien enviarnos como parte interesada una copia de todos los nuevos documentos e informes que puedan incorporarse al expediente después de la presente fase de información pública.</w:t>
      </w:r>
    </w:p>
    <w:p w14:paraId="445A0F7F" w14:textId="77777777" w:rsidR="005577B8" w:rsidRPr="005577B8" w:rsidRDefault="005577B8" w:rsidP="005577B8">
      <w:pPr>
        <w:spacing w:before="240" w:after="240"/>
        <w:jc w:val="both"/>
        <w:rPr>
          <w:rFonts w:ascii="HP Simplified" w:hAnsi="HP Simplified"/>
          <w:sz w:val="24"/>
          <w:szCs w:val="24"/>
        </w:rPr>
      </w:pPr>
      <w:r w:rsidRPr="005577B8">
        <w:rPr>
          <w:rFonts w:ascii="HP Simplified" w:hAnsi="HP Simplified"/>
          <w:sz w:val="24"/>
          <w:szCs w:val="24"/>
        </w:rPr>
        <w:t xml:space="preserve"> </w:t>
      </w:r>
    </w:p>
    <w:p w14:paraId="4E1150EE" w14:textId="77777777" w:rsidR="005577B8" w:rsidRPr="005577B8" w:rsidRDefault="005577B8" w:rsidP="005577B8">
      <w:pPr>
        <w:spacing w:before="240" w:after="240"/>
        <w:jc w:val="both"/>
        <w:rPr>
          <w:rFonts w:ascii="HP Simplified" w:hAnsi="HP Simplified"/>
          <w:sz w:val="24"/>
          <w:szCs w:val="24"/>
        </w:rPr>
      </w:pPr>
      <w:r w:rsidRPr="005577B8">
        <w:rPr>
          <w:rFonts w:ascii="HP Simplified" w:hAnsi="HP Simplified"/>
          <w:sz w:val="24"/>
          <w:szCs w:val="24"/>
        </w:rPr>
        <w:t xml:space="preserve"> </w:t>
      </w:r>
    </w:p>
    <w:p w14:paraId="095A937B" w14:textId="77777777" w:rsidR="005577B8" w:rsidRPr="005577B8" w:rsidRDefault="005577B8" w:rsidP="005577B8">
      <w:pPr>
        <w:spacing w:before="240" w:after="120"/>
        <w:jc w:val="center"/>
        <w:rPr>
          <w:rFonts w:ascii="HP Simplified" w:hAnsi="HP Simplified"/>
          <w:b/>
          <w:bCs/>
          <w:color w:val="FF0000"/>
          <w:sz w:val="24"/>
          <w:szCs w:val="24"/>
        </w:rPr>
      </w:pPr>
      <w:r w:rsidRPr="005577B8">
        <w:rPr>
          <w:rFonts w:ascii="HP Simplified" w:hAnsi="HP Simplified"/>
          <w:b/>
          <w:bCs/>
          <w:color w:val="FF0000"/>
          <w:sz w:val="24"/>
          <w:szCs w:val="24"/>
        </w:rPr>
        <w:t>Firmado el ___ de septiembre de 2022</w:t>
      </w:r>
    </w:p>
    <w:p w14:paraId="72D88110" w14:textId="77777777" w:rsidR="005577B8" w:rsidRPr="005577B8" w:rsidRDefault="005577B8" w:rsidP="005577B8">
      <w:pPr>
        <w:jc w:val="both"/>
        <w:rPr>
          <w:rFonts w:ascii="HP Simplified" w:hAnsi="HP Simplified"/>
          <w:color w:val="00B050"/>
          <w:sz w:val="24"/>
          <w:szCs w:val="24"/>
        </w:rPr>
      </w:pPr>
    </w:p>
    <w:p w14:paraId="76DC4988" w14:textId="77777777" w:rsidR="005577B8" w:rsidRPr="005577B8" w:rsidRDefault="005577B8" w:rsidP="005577B8">
      <w:pPr>
        <w:jc w:val="both"/>
        <w:rPr>
          <w:rFonts w:ascii="HP Simplified" w:hAnsi="HP Simplified"/>
          <w:color w:val="00B050"/>
          <w:sz w:val="24"/>
          <w:szCs w:val="24"/>
        </w:rPr>
      </w:pPr>
    </w:p>
    <w:p w14:paraId="7BFDD705" w14:textId="77777777" w:rsidR="005577B8" w:rsidRPr="005577B8" w:rsidRDefault="005577B8" w:rsidP="005577B8">
      <w:pPr>
        <w:jc w:val="both"/>
        <w:rPr>
          <w:rFonts w:ascii="HP Simplified" w:hAnsi="HP Simplified"/>
          <w:color w:val="00B050"/>
          <w:sz w:val="24"/>
          <w:szCs w:val="24"/>
        </w:rPr>
      </w:pPr>
    </w:p>
    <w:p w14:paraId="542EDB51" w14:textId="77777777" w:rsidR="005577B8" w:rsidRPr="005577B8" w:rsidRDefault="005577B8" w:rsidP="005577B8">
      <w:pPr>
        <w:jc w:val="both"/>
        <w:rPr>
          <w:rFonts w:ascii="HP Simplified" w:hAnsi="HP Simplified"/>
          <w:color w:val="00B050"/>
          <w:sz w:val="24"/>
          <w:szCs w:val="24"/>
        </w:rPr>
      </w:pPr>
    </w:p>
    <w:p w14:paraId="24A0A00C" w14:textId="77777777" w:rsidR="005577B8" w:rsidRPr="005577B8" w:rsidRDefault="005577B8" w:rsidP="005577B8">
      <w:pPr>
        <w:jc w:val="both"/>
        <w:rPr>
          <w:rFonts w:ascii="HP Simplified" w:hAnsi="HP Simplified"/>
          <w:color w:val="00B050"/>
          <w:sz w:val="24"/>
          <w:szCs w:val="24"/>
        </w:rPr>
      </w:pPr>
    </w:p>
    <w:p w14:paraId="4128BC3C" w14:textId="77777777" w:rsidR="005577B8" w:rsidRPr="005577B8" w:rsidRDefault="005577B8" w:rsidP="005577B8">
      <w:pPr>
        <w:jc w:val="both"/>
        <w:rPr>
          <w:rFonts w:ascii="HP Simplified" w:hAnsi="HP Simplified"/>
          <w:color w:val="00B050"/>
          <w:sz w:val="24"/>
          <w:szCs w:val="24"/>
        </w:rPr>
      </w:pPr>
    </w:p>
    <w:p w14:paraId="52CA1566" w14:textId="77777777" w:rsidR="005577B8" w:rsidRPr="005577B8" w:rsidRDefault="005577B8" w:rsidP="005577B8">
      <w:pPr>
        <w:jc w:val="both"/>
        <w:rPr>
          <w:rFonts w:ascii="HP Simplified" w:hAnsi="HP Simplified"/>
          <w:color w:val="00B050"/>
          <w:sz w:val="24"/>
          <w:szCs w:val="24"/>
        </w:rPr>
      </w:pPr>
    </w:p>
    <w:p w14:paraId="2DA3CE76" w14:textId="77777777" w:rsidR="005577B8" w:rsidRDefault="005577B8" w:rsidP="005577B8">
      <w:pPr>
        <w:jc w:val="both"/>
        <w:rPr>
          <w:rFonts w:ascii="HP Simplified" w:hAnsi="HP Simplified"/>
          <w:color w:val="00B050"/>
          <w:sz w:val="24"/>
          <w:szCs w:val="24"/>
        </w:rPr>
      </w:pPr>
    </w:p>
    <w:p w14:paraId="78CC5233" w14:textId="77777777" w:rsidR="005577B8" w:rsidRDefault="005577B8" w:rsidP="005577B8">
      <w:pPr>
        <w:jc w:val="both"/>
        <w:rPr>
          <w:rFonts w:ascii="HP Simplified" w:hAnsi="HP Simplified"/>
          <w:color w:val="00B050"/>
          <w:sz w:val="24"/>
          <w:szCs w:val="24"/>
        </w:rPr>
      </w:pPr>
    </w:p>
    <w:p w14:paraId="5FA67CE3" w14:textId="77777777" w:rsidR="005577B8" w:rsidRPr="005577B8" w:rsidRDefault="005577B8" w:rsidP="005577B8">
      <w:pPr>
        <w:jc w:val="both"/>
        <w:rPr>
          <w:rFonts w:ascii="HP Simplified" w:hAnsi="HP Simplified"/>
          <w:color w:val="00B050"/>
          <w:sz w:val="24"/>
          <w:szCs w:val="24"/>
        </w:rPr>
      </w:pPr>
    </w:p>
    <w:p w14:paraId="003447A2" w14:textId="77777777" w:rsidR="005577B8" w:rsidRPr="005577B8" w:rsidRDefault="005577B8" w:rsidP="005577B8">
      <w:pPr>
        <w:jc w:val="both"/>
        <w:rPr>
          <w:rFonts w:ascii="HP Simplified" w:hAnsi="HP Simplified"/>
          <w:color w:val="00B050"/>
          <w:sz w:val="24"/>
          <w:szCs w:val="24"/>
        </w:rPr>
      </w:pPr>
    </w:p>
    <w:p w14:paraId="70ACBF41" w14:textId="77777777" w:rsidR="005577B8" w:rsidRPr="005577B8" w:rsidRDefault="005577B8" w:rsidP="005577B8">
      <w:pPr>
        <w:jc w:val="both"/>
        <w:rPr>
          <w:rFonts w:ascii="HP Simplified" w:hAnsi="HP Simplified"/>
          <w:b/>
          <w:bCs/>
          <w:color w:val="FF0000"/>
          <w:sz w:val="24"/>
          <w:szCs w:val="24"/>
        </w:rPr>
      </w:pPr>
      <w:r w:rsidRPr="005577B8">
        <w:rPr>
          <w:rFonts w:ascii="HP Simplified" w:hAnsi="HP Simplified"/>
          <w:b/>
          <w:bCs/>
          <w:color w:val="FF0000"/>
          <w:sz w:val="24"/>
          <w:szCs w:val="24"/>
        </w:rPr>
        <w:lastRenderedPageBreak/>
        <w:t>Se adjuntan como ANEXOS:</w:t>
      </w:r>
    </w:p>
    <w:p w14:paraId="2E3223AA" w14:textId="77777777" w:rsidR="005577B8" w:rsidRPr="005577B8" w:rsidRDefault="005577B8" w:rsidP="005577B8">
      <w:pPr>
        <w:jc w:val="both"/>
        <w:rPr>
          <w:rFonts w:ascii="HP Simplified" w:hAnsi="HP Simplified"/>
          <w:b/>
          <w:bCs/>
          <w:color w:val="FF0000"/>
          <w:sz w:val="24"/>
          <w:szCs w:val="24"/>
        </w:rPr>
      </w:pPr>
      <w:r w:rsidRPr="005577B8">
        <w:rPr>
          <w:rFonts w:ascii="HP Simplified" w:hAnsi="HP Simplified"/>
          <w:b/>
          <w:bCs/>
          <w:color w:val="FF0000"/>
          <w:sz w:val="24"/>
          <w:szCs w:val="24"/>
        </w:rPr>
        <w:t xml:space="preserve">Anexo I: Solicitud de publicación del expediente en el tablón de anuncios del Ayuntamiento de </w:t>
      </w:r>
      <w:proofErr w:type="spellStart"/>
      <w:r w:rsidRPr="005577B8">
        <w:rPr>
          <w:rFonts w:ascii="HP Simplified" w:hAnsi="HP Simplified"/>
          <w:b/>
          <w:bCs/>
          <w:color w:val="FF0000"/>
          <w:sz w:val="24"/>
          <w:szCs w:val="24"/>
        </w:rPr>
        <w:t>Arganza</w:t>
      </w:r>
      <w:proofErr w:type="spellEnd"/>
      <w:r w:rsidRPr="005577B8">
        <w:rPr>
          <w:rFonts w:ascii="HP Simplified" w:hAnsi="HP Simplified"/>
          <w:b/>
          <w:bCs/>
          <w:color w:val="FF0000"/>
          <w:sz w:val="24"/>
          <w:szCs w:val="24"/>
        </w:rPr>
        <w:t>.</w:t>
      </w:r>
    </w:p>
    <w:p w14:paraId="548F0D25" w14:textId="77777777" w:rsidR="005577B8" w:rsidRPr="005577B8" w:rsidRDefault="005577B8" w:rsidP="005577B8">
      <w:pPr>
        <w:jc w:val="both"/>
        <w:rPr>
          <w:rFonts w:ascii="HP Simplified" w:hAnsi="HP Simplified"/>
          <w:b/>
          <w:bCs/>
          <w:color w:val="FF0000"/>
          <w:sz w:val="24"/>
          <w:szCs w:val="24"/>
        </w:rPr>
      </w:pPr>
      <w:r w:rsidRPr="005577B8">
        <w:rPr>
          <w:rFonts w:ascii="HP Simplified" w:hAnsi="HP Simplified"/>
          <w:b/>
          <w:bCs/>
          <w:color w:val="FF0000"/>
          <w:sz w:val="24"/>
          <w:szCs w:val="24"/>
        </w:rPr>
        <w:t xml:space="preserve">Anexo II: Vista del tablón de anuncios de la página web del Ayuntamiento de </w:t>
      </w:r>
      <w:proofErr w:type="spellStart"/>
      <w:r w:rsidRPr="005577B8">
        <w:rPr>
          <w:rFonts w:ascii="HP Simplified" w:hAnsi="HP Simplified"/>
          <w:b/>
          <w:bCs/>
          <w:color w:val="FF0000"/>
          <w:sz w:val="24"/>
          <w:szCs w:val="24"/>
        </w:rPr>
        <w:t>Arganza</w:t>
      </w:r>
      <w:proofErr w:type="spellEnd"/>
      <w:r w:rsidRPr="005577B8">
        <w:rPr>
          <w:rFonts w:ascii="HP Simplified" w:hAnsi="HP Simplified"/>
          <w:b/>
          <w:bCs/>
          <w:color w:val="FF0000"/>
          <w:sz w:val="24"/>
          <w:szCs w:val="24"/>
        </w:rPr>
        <w:t>.</w:t>
      </w:r>
    </w:p>
    <w:p w14:paraId="0EF81CDC" w14:textId="77777777" w:rsidR="005577B8" w:rsidRPr="005577B8" w:rsidRDefault="005577B8" w:rsidP="005577B8">
      <w:pPr>
        <w:jc w:val="both"/>
        <w:rPr>
          <w:rFonts w:ascii="HP Simplified" w:hAnsi="HP Simplified"/>
          <w:b/>
          <w:bCs/>
          <w:color w:val="FF0000"/>
          <w:sz w:val="24"/>
          <w:szCs w:val="24"/>
        </w:rPr>
      </w:pPr>
      <w:r w:rsidRPr="005577B8">
        <w:rPr>
          <w:rFonts w:ascii="HP Simplified" w:hAnsi="HP Simplified"/>
          <w:b/>
          <w:bCs/>
          <w:color w:val="FF0000"/>
          <w:sz w:val="24"/>
          <w:szCs w:val="24"/>
        </w:rPr>
        <w:t>Anexo III: Nota simple del Registro de la propiedad.</w:t>
      </w:r>
    </w:p>
    <w:p w14:paraId="5F77E449" w14:textId="77777777" w:rsidR="005577B8" w:rsidRPr="005577B8" w:rsidRDefault="005577B8" w:rsidP="005577B8">
      <w:pPr>
        <w:jc w:val="both"/>
        <w:rPr>
          <w:rFonts w:ascii="HP Simplified" w:hAnsi="HP Simplified"/>
          <w:b/>
          <w:bCs/>
          <w:sz w:val="24"/>
          <w:szCs w:val="24"/>
        </w:rPr>
      </w:pPr>
    </w:p>
    <w:p w14:paraId="157D9F7C" w14:textId="77777777" w:rsidR="005577B8" w:rsidRPr="005577B8" w:rsidRDefault="005577B8" w:rsidP="005577B8">
      <w:pPr>
        <w:jc w:val="both"/>
        <w:rPr>
          <w:rFonts w:ascii="HP Simplified" w:hAnsi="HP Simplified"/>
          <w:b/>
          <w:bCs/>
          <w:sz w:val="24"/>
          <w:szCs w:val="24"/>
        </w:rPr>
      </w:pPr>
    </w:p>
    <w:p w14:paraId="0F5C1F28" w14:textId="77777777" w:rsidR="005577B8" w:rsidRPr="005577B8" w:rsidRDefault="005577B8" w:rsidP="005577B8">
      <w:pPr>
        <w:jc w:val="both"/>
        <w:rPr>
          <w:rFonts w:ascii="HP Simplified" w:hAnsi="HP Simplified"/>
          <w:b/>
          <w:bCs/>
          <w:color w:val="FF0000"/>
          <w:sz w:val="24"/>
          <w:szCs w:val="24"/>
        </w:rPr>
      </w:pPr>
    </w:p>
    <w:p w14:paraId="5C240377" w14:textId="77777777" w:rsidR="005577B8" w:rsidRPr="005577B8" w:rsidRDefault="005577B8" w:rsidP="005577B8">
      <w:pPr>
        <w:jc w:val="both"/>
        <w:rPr>
          <w:rFonts w:ascii="HP Simplified" w:hAnsi="HP Simplified"/>
          <w:b/>
          <w:bCs/>
          <w:color w:val="FF0000"/>
          <w:sz w:val="24"/>
          <w:szCs w:val="24"/>
        </w:rPr>
      </w:pPr>
    </w:p>
    <w:p w14:paraId="6CA5E670" w14:textId="77777777" w:rsidR="005577B8" w:rsidRPr="005577B8" w:rsidRDefault="005577B8" w:rsidP="005577B8">
      <w:pPr>
        <w:jc w:val="both"/>
        <w:rPr>
          <w:rFonts w:ascii="HP Simplified" w:hAnsi="HP Simplified"/>
          <w:b/>
          <w:bCs/>
          <w:color w:val="FF0000"/>
          <w:sz w:val="24"/>
          <w:szCs w:val="24"/>
        </w:rPr>
      </w:pPr>
    </w:p>
    <w:p w14:paraId="33863A58" w14:textId="77777777" w:rsidR="005577B8" w:rsidRPr="005577B8" w:rsidRDefault="005577B8" w:rsidP="005577B8">
      <w:pPr>
        <w:jc w:val="both"/>
        <w:rPr>
          <w:rFonts w:ascii="HP Simplified" w:hAnsi="HP Simplified"/>
          <w:b/>
          <w:bCs/>
          <w:color w:val="FF0000"/>
          <w:sz w:val="24"/>
          <w:szCs w:val="24"/>
        </w:rPr>
      </w:pPr>
    </w:p>
    <w:p w14:paraId="3F790BEC" w14:textId="77777777" w:rsidR="005577B8" w:rsidRPr="005577B8" w:rsidRDefault="005577B8" w:rsidP="005577B8">
      <w:pPr>
        <w:jc w:val="both"/>
        <w:rPr>
          <w:rFonts w:ascii="HP Simplified" w:hAnsi="HP Simplified"/>
          <w:b/>
          <w:bCs/>
          <w:color w:val="FF0000"/>
          <w:sz w:val="24"/>
          <w:szCs w:val="24"/>
        </w:rPr>
      </w:pPr>
    </w:p>
    <w:p w14:paraId="21CB414A" w14:textId="77777777" w:rsidR="005577B8" w:rsidRPr="005577B8" w:rsidRDefault="005577B8" w:rsidP="005577B8">
      <w:pPr>
        <w:jc w:val="both"/>
        <w:rPr>
          <w:rFonts w:ascii="HP Simplified" w:hAnsi="HP Simplified"/>
          <w:b/>
          <w:bCs/>
          <w:color w:val="FF0000"/>
          <w:sz w:val="24"/>
          <w:szCs w:val="24"/>
        </w:rPr>
      </w:pPr>
    </w:p>
    <w:p w14:paraId="0D948496" w14:textId="77777777" w:rsidR="005577B8" w:rsidRPr="005577B8" w:rsidRDefault="005577B8" w:rsidP="005577B8">
      <w:pPr>
        <w:jc w:val="both"/>
        <w:rPr>
          <w:rFonts w:ascii="HP Simplified" w:hAnsi="HP Simplified"/>
          <w:b/>
          <w:bCs/>
          <w:color w:val="FF0000"/>
          <w:sz w:val="24"/>
          <w:szCs w:val="24"/>
        </w:rPr>
      </w:pPr>
    </w:p>
    <w:p w14:paraId="15AF13A9" w14:textId="77777777" w:rsidR="005577B8" w:rsidRPr="005577B8" w:rsidRDefault="005577B8" w:rsidP="005577B8">
      <w:pPr>
        <w:jc w:val="both"/>
        <w:rPr>
          <w:rFonts w:ascii="HP Simplified" w:hAnsi="HP Simplified"/>
          <w:b/>
          <w:bCs/>
          <w:color w:val="FF0000"/>
          <w:sz w:val="24"/>
          <w:szCs w:val="24"/>
        </w:rPr>
      </w:pPr>
    </w:p>
    <w:p w14:paraId="7891F177" w14:textId="77777777" w:rsidR="005577B8" w:rsidRPr="005577B8" w:rsidRDefault="005577B8" w:rsidP="005577B8">
      <w:pPr>
        <w:jc w:val="both"/>
        <w:rPr>
          <w:rFonts w:ascii="HP Simplified" w:hAnsi="HP Simplified"/>
          <w:b/>
          <w:bCs/>
          <w:color w:val="FF0000"/>
          <w:sz w:val="24"/>
          <w:szCs w:val="24"/>
        </w:rPr>
      </w:pPr>
    </w:p>
    <w:p w14:paraId="11E94F7B" w14:textId="77777777" w:rsidR="005577B8" w:rsidRPr="005577B8" w:rsidRDefault="005577B8" w:rsidP="005577B8">
      <w:pPr>
        <w:jc w:val="both"/>
        <w:rPr>
          <w:rFonts w:ascii="HP Simplified" w:hAnsi="HP Simplified"/>
          <w:b/>
          <w:bCs/>
          <w:color w:val="FF0000"/>
          <w:sz w:val="24"/>
          <w:szCs w:val="24"/>
        </w:rPr>
      </w:pPr>
    </w:p>
    <w:p w14:paraId="3E9ACEDE" w14:textId="77777777" w:rsidR="005577B8" w:rsidRPr="005577B8" w:rsidRDefault="005577B8" w:rsidP="005577B8">
      <w:pPr>
        <w:jc w:val="both"/>
        <w:rPr>
          <w:rFonts w:ascii="HP Simplified" w:hAnsi="HP Simplified"/>
          <w:b/>
          <w:bCs/>
          <w:color w:val="FF0000"/>
          <w:sz w:val="24"/>
          <w:szCs w:val="24"/>
        </w:rPr>
      </w:pPr>
    </w:p>
    <w:p w14:paraId="53FEE26E" w14:textId="77777777" w:rsidR="005577B8" w:rsidRPr="005577B8" w:rsidRDefault="005577B8" w:rsidP="005577B8">
      <w:pPr>
        <w:jc w:val="both"/>
        <w:rPr>
          <w:rFonts w:ascii="HP Simplified" w:hAnsi="HP Simplified"/>
          <w:b/>
          <w:bCs/>
          <w:color w:val="FF0000"/>
          <w:sz w:val="24"/>
          <w:szCs w:val="24"/>
        </w:rPr>
      </w:pPr>
    </w:p>
    <w:p w14:paraId="7441703F" w14:textId="77777777" w:rsidR="005577B8" w:rsidRPr="005577B8" w:rsidRDefault="005577B8" w:rsidP="005577B8">
      <w:pPr>
        <w:jc w:val="both"/>
        <w:rPr>
          <w:rFonts w:ascii="HP Simplified" w:hAnsi="HP Simplified"/>
          <w:b/>
          <w:bCs/>
          <w:color w:val="FF0000"/>
          <w:sz w:val="24"/>
          <w:szCs w:val="24"/>
        </w:rPr>
      </w:pPr>
    </w:p>
    <w:p w14:paraId="0D7C1C5F" w14:textId="77777777" w:rsidR="005577B8" w:rsidRPr="005577B8" w:rsidRDefault="005577B8" w:rsidP="005577B8">
      <w:pPr>
        <w:jc w:val="both"/>
        <w:rPr>
          <w:rFonts w:ascii="HP Simplified" w:hAnsi="HP Simplified"/>
          <w:b/>
          <w:bCs/>
          <w:color w:val="FF0000"/>
          <w:sz w:val="24"/>
          <w:szCs w:val="24"/>
        </w:rPr>
      </w:pPr>
    </w:p>
    <w:p w14:paraId="6D59292C" w14:textId="77777777" w:rsidR="005577B8" w:rsidRPr="005577B8" w:rsidRDefault="005577B8" w:rsidP="005577B8">
      <w:pPr>
        <w:jc w:val="both"/>
        <w:rPr>
          <w:rFonts w:ascii="HP Simplified" w:hAnsi="HP Simplified"/>
          <w:b/>
          <w:bCs/>
          <w:color w:val="FF0000"/>
          <w:sz w:val="24"/>
          <w:szCs w:val="24"/>
        </w:rPr>
      </w:pPr>
    </w:p>
    <w:p w14:paraId="108D73D3" w14:textId="77777777" w:rsidR="005577B8" w:rsidRPr="005577B8" w:rsidRDefault="005577B8" w:rsidP="005577B8">
      <w:pPr>
        <w:jc w:val="both"/>
        <w:rPr>
          <w:rFonts w:ascii="HP Simplified" w:hAnsi="HP Simplified"/>
          <w:b/>
          <w:bCs/>
          <w:color w:val="FF0000"/>
          <w:sz w:val="24"/>
          <w:szCs w:val="24"/>
        </w:rPr>
      </w:pPr>
    </w:p>
    <w:p w14:paraId="429B22EB" w14:textId="77777777" w:rsidR="005577B8" w:rsidRPr="005577B8" w:rsidRDefault="005577B8" w:rsidP="005577B8">
      <w:pPr>
        <w:jc w:val="both"/>
        <w:rPr>
          <w:rFonts w:ascii="HP Simplified" w:hAnsi="HP Simplified"/>
          <w:sz w:val="24"/>
          <w:szCs w:val="24"/>
        </w:rPr>
      </w:pPr>
    </w:p>
    <w:p w14:paraId="54975867" w14:textId="77777777" w:rsidR="005577B8" w:rsidRPr="005577B8" w:rsidRDefault="005577B8" w:rsidP="005577B8">
      <w:pPr>
        <w:rPr>
          <w:rFonts w:ascii="HP Simplified" w:hAnsi="HP Simplified"/>
          <w:sz w:val="24"/>
          <w:szCs w:val="24"/>
        </w:rPr>
      </w:pPr>
    </w:p>
    <w:p w14:paraId="799733A0" w14:textId="77777777" w:rsidR="00DA496F" w:rsidRPr="005577B8" w:rsidRDefault="00DA496F" w:rsidP="005577B8">
      <w:pPr>
        <w:jc w:val="center"/>
        <w:rPr>
          <w:rFonts w:ascii="HP Simplified" w:hAnsi="HP Simplified"/>
          <w:sz w:val="24"/>
          <w:szCs w:val="24"/>
        </w:rPr>
      </w:pPr>
    </w:p>
    <w:p w14:paraId="34A2E7D7" w14:textId="77777777" w:rsidR="005577B8" w:rsidRPr="005577B8" w:rsidRDefault="005577B8">
      <w:pPr>
        <w:jc w:val="center"/>
        <w:rPr>
          <w:rFonts w:ascii="HP Simplified" w:hAnsi="HP Simplified"/>
          <w:sz w:val="24"/>
          <w:szCs w:val="24"/>
        </w:rPr>
      </w:pPr>
    </w:p>
    <w:sectPr w:rsidR="005577B8" w:rsidRPr="005577B8">
      <w:pgSz w:w="11906" w:h="16838"/>
      <w:pgMar w:top="1417" w:right="1701"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HP Simplified">
    <w:panose1 w:val="020B0604020204020204"/>
    <w:charset w:val="00"/>
    <w:family w:val="swiss"/>
    <w:pitch w:val="variable"/>
    <w:sig w:usb0="A00000A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96F"/>
    <w:rsid w:val="005577B8"/>
    <w:rsid w:val="00DA49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07B4C"/>
  <w15:docId w15:val="{EFE04A88-7950-4710-B27A-07F766F44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8FD"/>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markedcontent">
    <w:name w:val="markedcontent"/>
    <w:basedOn w:val="Fuentedeprrafopredeter"/>
    <w:rsid w:val="00D90AA4"/>
  </w:style>
  <w:style w:type="character" w:styleId="Hipervnculo">
    <w:name w:val="Hyperlink"/>
    <w:basedOn w:val="Fuentedeprrafopredeter"/>
    <w:uiPriority w:val="99"/>
    <w:unhideWhenUsed/>
    <w:rsid w:val="00746B64"/>
    <w:rPr>
      <w:color w:val="0000FF" w:themeColor="hyperlink"/>
      <w:u w:val="single"/>
    </w:rPr>
  </w:style>
  <w:style w:type="paragraph" w:styleId="Textodeglobo">
    <w:name w:val="Balloon Text"/>
    <w:basedOn w:val="Normal"/>
    <w:link w:val="TextodegloboCar"/>
    <w:uiPriority w:val="99"/>
    <w:semiHidden/>
    <w:unhideWhenUsed/>
    <w:rsid w:val="004E31F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E31F4"/>
    <w:rPr>
      <w:rFonts w:ascii="Tahoma" w:hAnsi="Tahoma" w:cs="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5577B8"/>
    <w:pPr>
      <w:autoSpaceDE w:val="0"/>
      <w:autoSpaceDN w:val="0"/>
      <w:adjustRightInd w:val="0"/>
      <w:spacing w:after="0" w:line="240" w:lineRule="auto"/>
    </w:pPr>
    <w:rPr>
      <w:rFonts w:ascii="Trebuchet MS" w:eastAsiaTheme="minorHAnsi" w:hAnsi="Trebuchet MS" w:cs="Trebuchet MS"/>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6631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miteco.gob.es/es/ministerio/planes-estrategias/hoja-ruta-autoconsumo/hojaderutaautoconsumo_tcm30-534411.pdf" TargetMode="External"/><Relationship Id="rId3" Type="http://schemas.openxmlformats.org/officeDocument/2006/relationships/settings" Target="settings.xml"/><Relationship Id="rId7" Type="http://schemas.openxmlformats.org/officeDocument/2006/relationships/hyperlink" Target="https://www.miteco.gob.es/es/ministerio/planes-estrategias/hoja-ruta-autoconsumo/hojaderutaautoconsumo_tcm30-534411.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xxxxxxxxxx@xxxxxxxx.xxx" TargetMode="External"/><Relationship Id="rId5" Type="http://schemas.openxmlformats.org/officeDocument/2006/relationships/hyperlink" Target="mailto:xxxxxxxxxx@xxxxxxxx.xx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X+Tr+05lykypTSyNCRj5IneznQ==">AMUW2mVh/lbnZwsmqecJBaHGtlGDc7LoBc4VzerNXJv8DPJz1V6ttMkt2yfVHuSiG22IcLLhyYdCcsfH9jlrMu5dPrOezZdTnZatIpovw/01Ixjn5BKqFxc=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Pages>
  <Words>4624</Words>
  <Characters>25436</Characters>
  <Application>Microsoft Office Word</Application>
  <DocSecurity>0</DocSecurity>
  <Lines>211</Lines>
  <Paragraphs>59</Paragraphs>
  <ScaleCrop>false</ScaleCrop>
  <Company/>
  <LinksUpToDate>false</LinksUpToDate>
  <CharactersWithSpaces>30001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dc:creator>
  <cp:lastModifiedBy>ELENA DE LA PUENTE FRA</cp:lastModifiedBy>
  <cp:revision>2</cp:revision>
  <dcterms:created xsi:type="dcterms:W3CDTF">2022-09-24T07:00:00Z</dcterms:created>
  <dcterms:modified xsi:type="dcterms:W3CDTF">2023-05-05T19:45:00Z</dcterms:modified>
</cp:coreProperties>
</file>