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31015" w14:textId="77777777" w:rsidR="00FC4A81" w:rsidRDefault="001B2A16" w:rsidP="00FC4A81">
      <w:pPr>
        <w:spacing w:before="120" w:after="120"/>
        <w:jc w:val="right"/>
        <w:rPr>
          <w:rFonts w:ascii="HP Simplified" w:hAnsi="HP Simplified"/>
          <w:b/>
          <w:sz w:val="24"/>
          <w:szCs w:val="24"/>
        </w:rPr>
      </w:pPr>
      <w:r w:rsidRPr="00FC4A81">
        <w:rPr>
          <w:rFonts w:ascii="HP Simplified" w:hAnsi="HP Simplified"/>
          <w:b/>
          <w:sz w:val="24"/>
          <w:szCs w:val="24"/>
        </w:rPr>
        <w:t>A LA CONSEJERÍA DE INDUSTRIA, COMERCIA Y EMPLEO DE LA</w:t>
      </w:r>
    </w:p>
    <w:p w14:paraId="424C553A" w14:textId="399D6BF3" w:rsidR="001B2A16" w:rsidRPr="00FC4A81" w:rsidRDefault="001B2A16" w:rsidP="00FC4A81">
      <w:pPr>
        <w:spacing w:before="120" w:after="120"/>
        <w:jc w:val="right"/>
        <w:rPr>
          <w:rFonts w:ascii="HP Simplified" w:hAnsi="HP Simplified"/>
          <w:b/>
          <w:sz w:val="24"/>
          <w:szCs w:val="24"/>
        </w:rPr>
      </w:pPr>
      <w:r w:rsidRPr="00FC4A81">
        <w:rPr>
          <w:rFonts w:ascii="HP Simplified" w:hAnsi="HP Simplified"/>
          <w:b/>
          <w:sz w:val="24"/>
          <w:szCs w:val="24"/>
        </w:rPr>
        <w:t xml:space="preserve"> JUNTA DE CASTILLA Y LEÓN</w:t>
      </w:r>
    </w:p>
    <w:p w14:paraId="056E57AF" w14:textId="77777777" w:rsidR="001B2A16" w:rsidRPr="00FC4A81" w:rsidRDefault="001B2A16" w:rsidP="00FC4A81">
      <w:pPr>
        <w:spacing w:before="120" w:after="120"/>
        <w:jc w:val="right"/>
        <w:rPr>
          <w:rFonts w:ascii="HP Simplified" w:hAnsi="HP Simplified"/>
          <w:b/>
          <w:sz w:val="24"/>
          <w:szCs w:val="24"/>
        </w:rPr>
      </w:pPr>
      <w:r w:rsidRPr="00FC4A81">
        <w:rPr>
          <w:rFonts w:ascii="HP Simplified" w:hAnsi="HP Simplified"/>
          <w:b/>
          <w:sz w:val="24"/>
          <w:szCs w:val="24"/>
        </w:rPr>
        <w:t>ATT. AL SR. DIRECTOR GENERAL DE ENERGÍA Y MINAS</w:t>
      </w:r>
    </w:p>
    <w:p w14:paraId="75267E3B" w14:textId="77777777" w:rsidR="001B2A16" w:rsidRDefault="00435C31" w:rsidP="00FC4A81">
      <w:pPr>
        <w:spacing w:before="120" w:after="120"/>
        <w:jc w:val="right"/>
        <w:rPr>
          <w:rFonts w:ascii="HP Simplified" w:hAnsi="HP Simplified"/>
          <w:b/>
          <w:sz w:val="24"/>
          <w:szCs w:val="24"/>
        </w:rPr>
      </w:pPr>
      <w:r w:rsidRPr="00FC4A81">
        <w:rPr>
          <w:rFonts w:ascii="HP Simplified" w:hAnsi="HP Simplified"/>
          <w:b/>
          <w:sz w:val="24"/>
          <w:szCs w:val="24"/>
        </w:rPr>
        <w:t>EXPEDIENTE FV-197/2019/23427</w:t>
      </w:r>
      <w:r w:rsidR="001B2A16" w:rsidRPr="00FC4A81">
        <w:rPr>
          <w:rFonts w:ascii="HP Simplified" w:hAnsi="HP Simplified"/>
          <w:b/>
          <w:sz w:val="24"/>
          <w:szCs w:val="24"/>
        </w:rPr>
        <w:t xml:space="preserve"> </w:t>
      </w:r>
      <w:r w:rsidR="008D2A58" w:rsidRPr="00FC4A81">
        <w:rPr>
          <w:rFonts w:ascii="HP Simplified" w:hAnsi="HP Simplified"/>
          <w:b/>
          <w:sz w:val="24"/>
          <w:szCs w:val="24"/>
        </w:rPr>
        <w:t>COMPOSTILLA I</w:t>
      </w:r>
      <w:r w:rsidRPr="00FC4A81">
        <w:rPr>
          <w:rFonts w:ascii="HP Simplified" w:hAnsi="HP Simplified"/>
          <w:b/>
          <w:sz w:val="24"/>
          <w:szCs w:val="24"/>
        </w:rPr>
        <w:t>V</w:t>
      </w:r>
      <w:r w:rsidR="001B2A16" w:rsidRPr="00FC4A81">
        <w:rPr>
          <w:rFonts w:ascii="HP Simplified" w:hAnsi="HP Simplified"/>
          <w:b/>
          <w:sz w:val="24"/>
          <w:szCs w:val="24"/>
        </w:rPr>
        <w:t>.</w:t>
      </w:r>
    </w:p>
    <w:p w14:paraId="59FD3533" w14:textId="77777777" w:rsidR="00FC4A81" w:rsidRPr="00FC4A81" w:rsidRDefault="00FC4A81" w:rsidP="00FC4A81">
      <w:pPr>
        <w:spacing w:before="120" w:after="120"/>
        <w:jc w:val="right"/>
        <w:rPr>
          <w:rFonts w:ascii="HP Simplified" w:hAnsi="HP Simplified"/>
          <w:b/>
          <w:sz w:val="24"/>
          <w:szCs w:val="24"/>
        </w:rPr>
      </w:pPr>
    </w:p>
    <w:p w14:paraId="60C59D56" w14:textId="61C2152E" w:rsidR="001B2A16" w:rsidRPr="00FC4A81" w:rsidRDefault="001B2A16" w:rsidP="00FC4A81">
      <w:pPr>
        <w:spacing w:before="120" w:after="120"/>
        <w:jc w:val="both"/>
        <w:rPr>
          <w:rFonts w:ascii="HP Simplified" w:hAnsi="HP Simplified"/>
          <w:b/>
          <w:sz w:val="24"/>
          <w:szCs w:val="24"/>
        </w:rPr>
      </w:pPr>
      <w:r w:rsidRPr="00FC4A81">
        <w:rPr>
          <w:rFonts w:ascii="HP Simplified" w:hAnsi="HP Simplified"/>
          <w:b/>
          <w:sz w:val="24"/>
          <w:szCs w:val="24"/>
        </w:rPr>
        <w:t>ESCRITO DE INTERPOSICIÓN DE RECURSO DE ALZADA CONTRA LA AUTORIZACIÓN ADMINISTRATIVA PREVIA</w:t>
      </w:r>
      <w:r w:rsidR="00435C31" w:rsidRPr="00FC4A81">
        <w:rPr>
          <w:rFonts w:ascii="HP Simplified" w:hAnsi="HP Simplified"/>
          <w:b/>
          <w:sz w:val="24"/>
          <w:szCs w:val="24"/>
        </w:rPr>
        <w:t xml:space="preserve"> CONCEDIDA A MERCADO CAPELLA AURIGA</w:t>
      </w:r>
      <w:r w:rsidRPr="00FC4A81">
        <w:rPr>
          <w:rFonts w:ascii="HP Simplified" w:hAnsi="HP Simplified"/>
          <w:b/>
          <w:sz w:val="24"/>
          <w:szCs w:val="24"/>
        </w:rPr>
        <w:t xml:space="preserve"> S.L. PARA LA INSTALACIÓN DE</w:t>
      </w:r>
      <w:r w:rsidR="0075271B">
        <w:rPr>
          <w:rFonts w:ascii="HP Simplified" w:hAnsi="HP Simplified"/>
          <w:b/>
          <w:sz w:val="24"/>
          <w:szCs w:val="24"/>
        </w:rPr>
        <w:t xml:space="preserve"> </w:t>
      </w:r>
      <w:r w:rsidRPr="00FC4A81">
        <w:rPr>
          <w:rFonts w:ascii="HP Simplified" w:hAnsi="HP Simplified"/>
          <w:b/>
          <w:sz w:val="24"/>
          <w:szCs w:val="24"/>
        </w:rPr>
        <w:t>UNA PLANTA DE ENERGÍA ELECTRICA CON TECNOLOGÍA FOTOVOLTAICA Y LAS INFRAESTRUCTURAS DE EVACUACIÓN, EN EL TÉRMINO MUNICIPAL DE CUBILLOS DEL SIL(LEÓN).</w:t>
      </w:r>
      <w:r w:rsidR="00E81D58" w:rsidRPr="00FC4A81">
        <w:rPr>
          <w:rFonts w:ascii="HP Simplified" w:hAnsi="HP Simplified"/>
          <w:b/>
          <w:sz w:val="24"/>
          <w:szCs w:val="24"/>
        </w:rPr>
        <w:t xml:space="preserve"> </w:t>
      </w:r>
      <w:r w:rsidR="00196DB3" w:rsidRPr="00FC4A81">
        <w:rPr>
          <w:rFonts w:ascii="HP Simplified" w:hAnsi="HP Simplified"/>
          <w:b/>
          <w:sz w:val="24"/>
          <w:szCs w:val="24"/>
        </w:rPr>
        <w:t>COMPOSTILLA I</w:t>
      </w:r>
      <w:r w:rsidR="00E81D58" w:rsidRPr="00FC4A81">
        <w:rPr>
          <w:rFonts w:ascii="HP Simplified" w:hAnsi="HP Simplified"/>
          <w:b/>
          <w:sz w:val="24"/>
          <w:szCs w:val="24"/>
        </w:rPr>
        <w:t>V</w:t>
      </w:r>
      <w:r w:rsidR="00196DB3" w:rsidRPr="00FC4A81">
        <w:rPr>
          <w:rFonts w:ascii="HP Simplified" w:hAnsi="HP Simplified"/>
          <w:b/>
          <w:sz w:val="24"/>
          <w:szCs w:val="24"/>
        </w:rPr>
        <w:t>.</w:t>
      </w:r>
    </w:p>
    <w:p w14:paraId="1831C87B" w14:textId="77777777" w:rsidR="001B2A16" w:rsidRPr="00FC4A81" w:rsidRDefault="001B2A16" w:rsidP="00FC4A81">
      <w:pPr>
        <w:spacing w:before="120" w:after="120"/>
        <w:jc w:val="both"/>
        <w:rPr>
          <w:rFonts w:ascii="HP Simplified" w:hAnsi="HP Simplified"/>
          <w:sz w:val="24"/>
          <w:szCs w:val="24"/>
        </w:rPr>
      </w:pPr>
    </w:p>
    <w:p w14:paraId="285404CF" w14:textId="77777777" w:rsidR="00FC4A81" w:rsidRPr="00FC4A81" w:rsidRDefault="00FC4A81" w:rsidP="00FC4A81">
      <w:pPr>
        <w:spacing w:before="120" w:after="120" w:line="240" w:lineRule="auto"/>
        <w:jc w:val="both"/>
        <w:rPr>
          <w:rFonts w:ascii="HP Simplified" w:hAnsi="HP Simplified"/>
          <w:b/>
          <w:bCs/>
          <w:color w:val="FF0000"/>
          <w:sz w:val="24"/>
          <w:szCs w:val="24"/>
        </w:rPr>
      </w:pPr>
      <w:r w:rsidRPr="00FC4A81">
        <w:rPr>
          <w:rFonts w:ascii="HP Simplified" w:hAnsi="HP Simplified"/>
          <w:b/>
          <w:bCs/>
          <w:color w:val="FF0000"/>
          <w:sz w:val="24"/>
          <w:szCs w:val="24"/>
        </w:rPr>
        <w:t>A ELEGIR UNO DE LOS SIGUIENTES ENCABEZADOS, SEGÚN CORRESPONDA (</w:t>
      </w:r>
      <w:r w:rsidRPr="00FC4A81">
        <w:rPr>
          <w:rFonts w:ascii="HP Simplified" w:hAnsi="HP Simplified"/>
          <w:b/>
          <w:bCs/>
          <w:color w:val="31849B" w:themeColor="accent5" w:themeShade="BF"/>
          <w:sz w:val="24"/>
          <w:szCs w:val="24"/>
        </w:rPr>
        <w:t xml:space="preserve">asociación </w:t>
      </w:r>
      <w:r w:rsidRPr="00FC4A81">
        <w:rPr>
          <w:rFonts w:ascii="HP Simplified" w:hAnsi="HP Simplified"/>
          <w:b/>
          <w:bCs/>
          <w:color w:val="FF0000"/>
          <w:sz w:val="24"/>
          <w:szCs w:val="24"/>
        </w:rPr>
        <w:t>o persona física)</w:t>
      </w:r>
    </w:p>
    <w:p w14:paraId="3A493AC3" w14:textId="77777777" w:rsidR="00FC4A81" w:rsidRPr="00FC4A81" w:rsidRDefault="00FC4A81" w:rsidP="00FC4A81">
      <w:pPr>
        <w:spacing w:before="120" w:after="120" w:line="240" w:lineRule="auto"/>
        <w:jc w:val="both"/>
        <w:rPr>
          <w:rFonts w:ascii="HP Simplified" w:hAnsi="HP Simplified"/>
          <w:b/>
          <w:bCs/>
          <w:color w:val="FF0000"/>
          <w:sz w:val="24"/>
          <w:szCs w:val="24"/>
        </w:rPr>
      </w:pPr>
    </w:p>
    <w:p w14:paraId="26602235" w14:textId="77777777" w:rsidR="00FC4A81" w:rsidRPr="00FC4A81" w:rsidRDefault="00FC4A81" w:rsidP="00FC4A81">
      <w:pPr>
        <w:spacing w:before="120" w:after="120" w:line="240" w:lineRule="auto"/>
        <w:jc w:val="both"/>
        <w:rPr>
          <w:rFonts w:ascii="HP Simplified" w:hAnsi="HP Simplified"/>
          <w:b/>
          <w:bCs/>
          <w:color w:val="31849B" w:themeColor="accent5" w:themeShade="BF"/>
          <w:sz w:val="24"/>
          <w:szCs w:val="24"/>
        </w:rPr>
      </w:pPr>
      <w:r w:rsidRPr="00FC4A81">
        <w:rPr>
          <w:rFonts w:ascii="HP Simplified" w:hAnsi="HP Simplified"/>
          <w:b/>
          <w:bCs/>
          <w:color w:val="31849B" w:themeColor="accent5" w:themeShade="BF"/>
          <w:sz w:val="24"/>
          <w:szCs w:val="24"/>
        </w:rPr>
        <w:t xml:space="preserve">D. </w:t>
      </w:r>
      <w:proofErr w:type="spellStart"/>
      <w:r w:rsidRPr="00FC4A81">
        <w:rPr>
          <w:rFonts w:ascii="HP Simplified" w:hAnsi="HP Simplified"/>
          <w:b/>
          <w:bCs/>
          <w:color w:val="31849B" w:themeColor="accent5" w:themeShade="BF"/>
          <w:sz w:val="24"/>
          <w:szCs w:val="24"/>
        </w:rPr>
        <w:t>xxxxxxxxxxxxxxxxxxxxxxxxxxxxx</w:t>
      </w:r>
      <w:proofErr w:type="spellEnd"/>
      <w:r w:rsidRPr="00FC4A81">
        <w:rPr>
          <w:rFonts w:ascii="HP Simplified" w:hAnsi="HP Simplified"/>
          <w:b/>
          <w:bCs/>
          <w:color w:val="31849B" w:themeColor="accent5" w:themeShade="BF"/>
          <w:sz w:val="24"/>
          <w:szCs w:val="24"/>
        </w:rPr>
        <w:t xml:space="preserve">, con DNI </w:t>
      </w:r>
      <w:proofErr w:type="spellStart"/>
      <w:r w:rsidRPr="00FC4A81">
        <w:rPr>
          <w:rFonts w:ascii="HP Simplified" w:hAnsi="HP Simplified"/>
          <w:b/>
          <w:bCs/>
          <w:color w:val="31849B" w:themeColor="accent5" w:themeShade="BF"/>
          <w:sz w:val="24"/>
          <w:szCs w:val="24"/>
        </w:rPr>
        <w:t>xxxxxxxxxxxxxxxx</w:t>
      </w:r>
      <w:proofErr w:type="spellEnd"/>
      <w:r w:rsidRPr="00FC4A81">
        <w:rPr>
          <w:rFonts w:ascii="HP Simplified" w:hAnsi="HP Simplified"/>
          <w:b/>
          <w:bCs/>
          <w:color w:val="31849B" w:themeColor="accent5" w:themeShade="BF"/>
          <w:sz w:val="24"/>
          <w:szCs w:val="24"/>
        </w:rPr>
        <w:t xml:space="preserve">, en nombre y representación de la ASOCIACIÓN </w:t>
      </w:r>
      <w:proofErr w:type="spellStart"/>
      <w:r w:rsidRPr="00FC4A81">
        <w:rPr>
          <w:rFonts w:ascii="HP Simplified" w:hAnsi="HP Simplified"/>
          <w:b/>
          <w:bCs/>
          <w:color w:val="31849B" w:themeColor="accent5" w:themeShade="BF"/>
          <w:sz w:val="24"/>
          <w:szCs w:val="24"/>
        </w:rPr>
        <w:t>xxxxxxxxxxxxxxxxxxxxxx</w:t>
      </w:r>
      <w:proofErr w:type="spellEnd"/>
      <w:r w:rsidRPr="00FC4A81">
        <w:rPr>
          <w:rFonts w:ascii="HP Simplified" w:hAnsi="HP Simplified"/>
          <w:b/>
          <w:bCs/>
          <w:color w:val="31849B" w:themeColor="accent5" w:themeShade="BF"/>
          <w:sz w:val="24"/>
          <w:szCs w:val="24"/>
        </w:rPr>
        <w:t xml:space="preserve">, con CIF </w:t>
      </w:r>
      <w:proofErr w:type="spellStart"/>
      <w:r w:rsidRPr="00FC4A81">
        <w:rPr>
          <w:rFonts w:ascii="HP Simplified" w:hAnsi="HP Simplified"/>
          <w:b/>
          <w:bCs/>
          <w:color w:val="31849B" w:themeColor="accent5" w:themeShade="BF"/>
          <w:sz w:val="24"/>
          <w:szCs w:val="24"/>
        </w:rPr>
        <w:t>xxxxxxxxxxx</w:t>
      </w:r>
      <w:proofErr w:type="spellEnd"/>
      <w:r w:rsidRPr="00FC4A81">
        <w:rPr>
          <w:rFonts w:ascii="HP Simplified" w:hAnsi="HP Simplified"/>
          <w:b/>
          <w:bCs/>
          <w:color w:val="31849B" w:themeColor="accent5" w:themeShade="BF"/>
          <w:sz w:val="24"/>
          <w:szCs w:val="24"/>
        </w:rPr>
        <w:t xml:space="preserve">, y con correo electrónico a efecto de notificaciones </w:t>
      </w:r>
      <w:hyperlink r:id="rId4" w:history="1">
        <w:r w:rsidRPr="00FC4A81">
          <w:rPr>
            <w:rStyle w:val="Hipervnculo"/>
            <w:rFonts w:ascii="HP Simplified" w:hAnsi="HP Simplified"/>
            <w:b/>
            <w:bCs/>
            <w:color w:val="31849B" w:themeColor="accent5" w:themeShade="BF"/>
            <w:sz w:val="24"/>
            <w:szCs w:val="24"/>
          </w:rPr>
          <w:t>xxxxxxxxxx@xxxxxxxx.xxx</w:t>
        </w:r>
      </w:hyperlink>
      <w:r w:rsidRPr="00FC4A81">
        <w:rPr>
          <w:rFonts w:ascii="HP Simplified" w:hAnsi="HP Simplified"/>
          <w:b/>
          <w:bCs/>
          <w:color w:val="31849B" w:themeColor="accent5" w:themeShade="BF"/>
          <w:sz w:val="24"/>
          <w:szCs w:val="24"/>
        </w:rPr>
        <w:t xml:space="preserve">, </w:t>
      </w:r>
    </w:p>
    <w:p w14:paraId="510D1D26" w14:textId="77777777" w:rsidR="00FC4A81" w:rsidRPr="00FC4A81" w:rsidRDefault="00FC4A81" w:rsidP="00FC4A81">
      <w:pPr>
        <w:spacing w:before="120" w:after="120" w:line="240" w:lineRule="auto"/>
        <w:jc w:val="both"/>
        <w:rPr>
          <w:rFonts w:ascii="HP Simplified" w:hAnsi="HP Simplified"/>
          <w:b/>
          <w:bCs/>
          <w:color w:val="FF0000"/>
          <w:sz w:val="24"/>
          <w:szCs w:val="24"/>
        </w:rPr>
      </w:pPr>
    </w:p>
    <w:p w14:paraId="7F242918" w14:textId="77777777" w:rsidR="00FC4A81" w:rsidRPr="00FC4A81" w:rsidRDefault="00FC4A81" w:rsidP="00FC4A81">
      <w:pPr>
        <w:spacing w:before="120" w:after="120" w:line="240" w:lineRule="auto"/>
        <w:jc w:val="both"/>
        <w:rPr>
          <w:rFonts w:ascii="HP Simplified" w:hAnsi="HP Simplified"/>
          <w:b/>
          <w:bCs/>
          <w:color w:val="FF0000"/>
          <w:sz w:val="24"/>
          <w:szCs w:val="24"/>
        </w:rPr>
      </w:pPr>
      <w:r w:rsidRPr="00FC4A81">
        <w:rPr>
          <w:rFonts w:ascii="HP Simplified" w:hAnsi="HP Simplified"/>
          <w:b/>
          <w:bCs/>
          <w:color w:val="FF0000"/>
          <w:sz w:val="24"/>
          <w:szCs w:val="24"/>
        </w:rPr>
        <w:t xml:space="preserve">D. </w:t>
      </w:r>
      <w:proofErr w:type="spellStart"/>
      <w:r w:rsidRPr="00FC4A81">
        <w:rPr>
          <w:rFonts w:ascii="HP Simplified" w:hAnsi="HP Simplified"/>
          <w:b/>
          <w:bCs/>
          <w:color w:val="FF0000"/>
          <w:sz w:val="24"/>
          <w:szCs w:val="24"/>
        </w:rPr>
        <w:t>xxxxxxxxxxxxxxxxxxxxxxxxxxxxx</w:t>
      </w:r>
      <w:proofErr w:type="spellEnd"/>
      <w:r w:rsidRPr="00FC4A81">
        <w:rPr>
          <w:rFonts w:ascii="HP Simplified" w:hAnsi="HP Simplified"/>
          <w:b/>
          <w:bCs/>
          <w:color w:val="FF0000"/>
          <w:sz w:val="24"/>
          <w:szCs w:val="24"/>
        </w:rPr>
        <w:t xml:space="preserve">, con DNI </w:t>
      </w:r>
      <w:proofErr w:type="spellStart"/>
      <w:r w:rsidRPr="00FC4A81">
        <w:rPr>
          <w:rFonts w:ascii="HP Simplified" w:hAnsi="HP Simplified"/>
          <w:b/>
          <w:bCs/>
          <w:color w:val="FF0000"/>
          <w:sz w:val="24"/>
          <w:szCs w:val="24"/>
        </w:rPr>
        <w:t>xxxxxxxxxxxxxxxx</w:t>
      </w:r>
      <w:proofErr w:type="spellEnd"/>
      <w:r w:rsidRPr="00FC4A81">
        <w:rPr>
          <w:rFonts w:ascii="HP Simplified" w:hAnsi="HP Simplified"/>
          <w:b/>
          <w:bCs/>
          <w:color w:val="FF0000"/>
          <w:sz w:val="24"/>
          <w:szCs w:val="24"/>
        </w:rPr>
        <w:t xml:space="preserve">, mayor de edad, con domicilio en </w:t>
      </w:r>
      <w:proofErr w:type="spellStart"/>
      <w:r w:rsidRPr="00FC4A81">
        <w:rPr>
          <w:rFonts w:ascii="HP Simplified" w:hAnsi="HP Simplified"/>
          <w:b/>
          <w:bCs/>
          <w:color w:val="FF0000"/>
          <w:sz w:val="24"/>
          <w:szCs w:val="24"/>
        </w:rPr>
        <w:t>xxxxxxxxxxxxxxxxxxxxxxxxxxxxxxxxxxxxxxxxxxxx</w:t>
      </w:r>
      <w:proofErr w:type="spellEnd"/>
      <w:r w:rsidRPr="00FC4A81">
        <w:rPr>
          <w:rFonts w:ascii="HP Simplified" w:hAnsi="HP Simplified"/>
          <w:b/>
          <w:bCs/>
          <w:color w:val="FF0000"/>
          <w:sz w:val="24"/>
          <w:szCs w:val="24"/>
        </w:rPr>
        <w:t xml:space="preserve"> y con correo electrónico a efecto de notificaciones </w:t>
      </w:r>
      <w:hyperlink r:id="rId5" w:history="1">
        <w:r w:rsidRPr="00FC4A81">
          <w:rPr>
            <w:rStyle w:val="Hipervnculo"/>
            <w:rFonts w:ascii="HP Simplified" w:hAnsi="HP Simplified"/>
            <w:b/>
            <w:bCs/>
            <w:color w:val="FF0000"/>
            <w:sz w:val="24"/>
            <w:szCs w:val="24"/>
          </w:rPr>
          <w:t>xxxxxxxxxx@xxxxxxxx.xxx</w:t>
        </w:r>
      </w:hyperlink>
      <w:r w:rsidRPr="00FC4A81">
        <w:rPr>
          <w:rFonts w:ascii="HP Simplified" w:hAnsi="HP Simplified"/>
          <w:b/>
          <w:bCs/>
          <w:color w:val="FF0000"/>
          <w:sz w:val="24"/>
          <w:szCs w:val="24"/>
        </w:rPr>
        <w:t xml:space="preserve">, </w:t>
      </w:r>
    </w:p>
    <w:p w14:paraId="48E4E129" w14:textId="55E92EF1" w:rsidR="001B2A16" w:rsidRPr="00FC4A81" w:rsidRDefault="00FC4A81" w:rsidP="00FC4A81">
      <w:pPr>
        <w:spacing w:before="120" w:after="120"/>
        <w:jc w:val="both"/>
        <w:rPr>
          <w:rFonts w:ascii="HP Simplified" w:hAnsi="HP Simplified"/>
          <w:sz w:val="24"/>
          <w:szCs w:val="24"/>
        </w:rPr>
      </w:pPr>
      <w:r w:rsidRPr="00FC4A81">
        <w:rPr>
          <w:rFonts w:ascii="HP Simplified" w:eastAsia="Times New Roman" w:hAnsi="HP Simplified" w:cstheme="minorHAnsi"/>
          <w:sz w:val="24"/>
          <w:szCs w:val="24"/>
          <w:lang w:eastAsia="es-ES"/>
        </w:rPr>
        <w:t>comparece ante esta Unidad Administrativa y, como mejor proceda en Derecho,</w:t>
      </w:r>
      <w:r w:rsidR="001B2A16" w:rsidRPr="00FC4A81">
        <w:rPr>
          <w:rFonts w:ascii="HP Simplified" w:hAnsi="HP Simplified"/>
          <w:sz w:val="24"/>
          <w:szCs w:val="24"/>
        </w:rPr>
        <w:t xml:space="preserve"> digo:</w:t>
      </w:r>
    </w:p>
    <w:p w14:paraId="0F9ED0DE" w14:textId="5BB1EC86"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Que se ha notificado la RESOLUCIÓN de 24 de marzo de 2023 del SERVICIO TERRITORIAL DE INDUSTRIA, COMERCIO Y ECONOMÍA DE LA JUNTA DE CASTILLA Y LEÓN, EN LEÓN, por la que se concede autorización a </w:t>
      </w:r>
      <w:r w:rsidR="00E81D58" w:rsidRPr="00FC4A81">
        <w:rPr>
          <w:rFonts w:ascii="HP Simplified" w:hAnsi="HP Simplified"/>
          <w:sz w:val="24"/>
          <w:szCs w:val="24"/>
        </w:rPr>
        <w:t>CAPELLA AURIGA SL para la instalación de la</w:t>
      </w:r>
      <w:r w:rsidRPr="00FC4A81">
        <w:rPr>
          <w:rFonts w:ascii="HP Simplified" w:hAnsi="HP Simplified"/>
          <w:sz w:val="24"/>
          <w:szCs w:val="24"/>
        </w:rPr>
        <w:t xml:space="preserve"> planta fotovoltaica</w:t>
      </w:r>
      <w:r w:rsidR="00E81D58" w:rsidRPr="00FC4A81">
        <w:rPr>
          <w:rFonts w:ascii="HP Simplified" w:hAnsi="HP Simplified"/>
          <w:sz w:val="24"/>
          <w:szCs w:val="24"/>
        </w:rPr>
        <w:t xml:space="preserve"> COMPOSTILLA IV</w:t>
      </w:r>
      <w:r w:rsidRPr="00FC4A81">
        <w:rPr>
          <w:rFonts w:ascii="HP Simplified" w:hAnsi="HP Simplified"/>
          <w:sz w:val="24"/>
          <w:szCs w:val="24"/>
        </w:rPr>
        <w:t xml:space="preserve"> y sus infraestructuras de evacuación en el término municipal de Cubillos del Sil (León) por lo que interpongo RECURSO DE ALZADA contra la misma sobre la base de los siguientes  </w:t>
      </w:r>
    </w:p>
    <w:p w14:paraId="00E464A8" w14:textId="53CBBD40" w:rsidR="001B2A16" w:rsidRPr="00FC4A81" w:rsidRDefault="001B2A16" w:rsidP="00FC4A81">
      <w:pPr>
        <w:spacing w:before="120" w:after="120"/>
        <w:ind w:left="2832" w:firstLine="708"/>
        <w:jc w:val="both"/>
        <w:rPr>
          <w:rFonts w:ascii="HP Simplified" w:hAnsi="HP Simplified"/>
          <w:b/>
          <w:sz w:val="24"/>
          <w:szCs w:val="24"/>
        </w:rPr>
      </w:pPr>
      <w:r w:rsidRPr="00FC4A81">
        <w:rPr>
          <w:rFonts w:ascii="HP Simplified" w:hAnsi="HP Simplified"/>
          <w:b/>
          <w:sz w:val="24"/>
          <w:szCs w:val="24"/>
        </w:rPr>
        <w:t>MOTIVOS DE RECURSO</w:t>
      </w:r>
    </w:p>
    <w:p w14:paraId="54F61F74" w14:textId="77777777" w:rsidR="001B2A16" w:rsidRPr="00FC4A81" w:rsidRDefault="001B2A16" w:rsidP="00FC4A81">
      <w:pPr>
        <w:spacing w:before="120" w:after="120"/>
        <w:ind w:left="2124" w:firstLine="708"/>
        <w:jc w:val="both"/>
        <w:rPr>
          <w:rFonts w:ascii="HP Simplified" w:hAnsi="HP Simplified"/>
          <w:b/>
          <w:sz w:val="24"/>
          <w:szCs w:val="24"/>
        </w:rPr>
      </w:pPr>
      <w:r w:rsidRPr="00FC4A81">
        <w:rPr>
          <w:rFonts w:ascii="HP Simplified" w:hAnsi="HP Simplified"/>
          <w:b/>
          <w:sz w:val="24"/>
          <w:szCs w:val="24"/>
        </w:rPr>
        <w:t xml:space="preserve">I.- ADMISIBILIDAD DEL </w:t>
      </w:r>
      <w:proofErr w:type="gramStart"/>
      <w:r w:rsidRPr="00FC4A81">
        <w:rPr>
          <w:rFonts w:ascii="HP Simplified" w:hAnsi="HP Simplified"/>
          <w:b/>
          <w:sz w:val="24"/>
          <w:szCs w:val="24"/>
        </w:rPr>
        <w:t>RECURSO.-</w:t>
      </w:r>
      <w:proofErr w:type="gramEnd"/>
      <w:r w:rsidRPr="00FC4A81">
        <w:rPr>
          <w:rFonts w:ascii="HP Simplified" w:hAnsi="HP Simplified"/>
          <w:b/>
          <w:sz w:val="24"/>
          <w:szCs w:val="24"/>
        </w:rPr>
        <w:t xml:space="preserve"> </w:t>
      </w:r>
    </w:p>
    <w:p w14:paraId="0121753F"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1.- </w:t>
      </w:r>
      <w:proofErr w:type="gramStart"/>
      <w:r w:rsidRPr="00FC4A81">
        <w:rPr>
          <w:rFonts w:ascii="HP Simplified" w:hAnsi="HP Simplified"/>
          <w:sz w:val="24"/>
          <w:szCs w:val="24"/>
        </w:rPr>
        <w:t>COMPETENCIA.-</w:t>
      </w:r>
      <w:proofErr w:type="gramEnd"/>
      <w:r w:rsidRPr="00FC4A81">
        <w:rPr>
          <w:rFonts w:ascii="HP Simplified" w:hAnsi="HP Simplified"/>
          <w:sz w:val="24"/>
          <w:szCs w:val="24"/>
        </w:rPr>
        <w:t xml:space="preserve"> El presente recurso se interpone ante el órgano competente para resolverlo (art. 121.2 de la Ley 39/2015)</w:t>
      </w:r>
    </w:p>
    <w:p w14:paraId="7B9B9121"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2.- </w:t>
      </w:r>
      <w:proofErr w:type="gramStart"/>
      <w:r w:rsidRPr="00FC4A81">
        <w:rPr>
          <w:rFonts w:ascii="HP Simplified" w:hAnsi="HP Simplified"/>
          <w:sz w:val="24"/>
          <w:szCs w:val="24"/>
        </w:rPr>
        <w:t>LEGITIMACIÓN.-</w:t>
      </w:r>
      <w:proofErr w:type="gramEnd"/>
      <w:r w:rsidRPr="00FC4A81">
        <w:rPr>
          <w:rFonts w:ascii="HP Simplified" w:hAnsi="HP Simplified"/>
          <w:sz w:val="24"/>
          <w:szCs w:val="24"/>
        </w:rPr>
        <w:t xml:space="preserve"> La entidad local menor recurrente tiene legitimación activa por ser titular de derechos e intereses afectados por la resolución impugnada (artículo 4.1 de la Ley 39/2015).</w:t>
      </w:r>
    </w:p>
    <w:p w14:paraId="1A1B9561" w14:textId="4A2821A8"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3.- ACTO OBJETO DE IMPUGNACIÓN. El acto objeto de impugnación a medio del presente recurso es una resolución definitiva (112.1 de la Ley 39/2015) que no agota </w:t>
      </w:r>
      <w:r w:rsidRPr="00FC4A81">
        <w:rPr>
          <w:rFonts w:ascii="HP Simplified" w:hAnsi="HP Simplified"/>
          <w:sz w:val="24"/>
          <w:szCs w:val="24"/>
        </w:rPr>
        <w:lastRenderedPageBreak/>
        <w:t>la vía administrativa por lo que es susceptible de ser recurrida en alzada (artículo 121.1 de la Ley 39/2015).</w:t>
      </w:r>
    </w:p>
    <w:p w14:paraId="2F3E68F4" w14:textId="1684CAE4"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4.- PLAZO. La resolución impugnada fue publicada el día 26 de mayo, por lo que el plazo de un mes que establece el artículo 122.1 de la Ley 39/2015 vence el próximo día 2</w:t>
      </w:r>
      <w:r w:rsidR="00FC4A81">
        <w:rPr>
          <w:rFonts w:ascii="HP Simplified" w:hAnsi="HP Simplified"/>
          <w:sz w:val="24"/>
          <w:szCs w:val="24"/>
        </w:rPr>
        <w:t>6</w:t>
      </w:r>
      <w:r w:rsidRPr="00FC4A81">
        <w:rPr>
          <w:rFonts w:ascii="HP Simplified" w:hAnsi="HP Simplified"/>
          <w:sz w:val="24"/>
          <w:szCs w:val="24"/>
        </w:rPr>
        <w:t xml:space="preserve"> de junio, por lo que el recurso se presenta dentro del plazo establecido.</w:t>
      </w:r>
    </w:p>
    <w:p w14:paraId="084D33C2"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5.- FORMA. El presente escrito cumple también con los requisitos formales del artículo 115 de la Ley 39/2015, debiéndose tener en cuenta además que el error   por parte del recurrente no será obstáculo para su tramitación, siempre que se deduzca su verdadero carácter (apartado 2 del citado artículo).</w:t>
      </w:r>
    </w:p>
    <w:p w14:paraId="14C74829" w14:textId="77777777" w:rsidR="001B2A16" w:rsidRPr="00FC4A81" w:rsidRDefault="001B2A16" w:rsidP="00FC4A81">
      <w:pPr>
        <w:spacing w:before="120" w:after="120"/>
        <w:jc w:val="both"/>
        <w:rPr>
          <w:rFonts w:ascii="HP Simplified" w:hAnsi="HP Simplified"/>
          <w:b/>
          <w:sz w:val="24"/>
          <w:szCs w:val="24"/>
        </w:rPr>
      </w:pPr>
      <w:r w:rsidRPr="00FC4A81">
        <w:rPr>
          <w:rFonts w:ascii="HP Simplified" w:hAnsi="HP Simplified"/>
          <w:sz w:val="24"/>
          <w:szCs w:val="24"/>
        </w:rPr>
        <w:tab/>
      </w:r>
      <w:r w:rsidRPr="00FC4A81">
        <w:rPr>
          <w:rFonts w:ascii="HP Simplified" w:hAnsi="HP Simplified"/>
          <w:sz w:val="24"/>
          <w:szCs w:val="24"/>
        </w:rPr>
        <w:tab/>
      </w:r>
      <w:r w:rsidRPr="00FC4A81">
        <w:rPr>
          <w:rFonts w:ascii="HP Simplified" w:hAnsi="HP Simplified"/>
          <w:sz w:val="24"/>
          <w:szCs w:val="24"/>
        </w:rPr>
        <w:tab/>
      </w:r>
      <w:r w:rsidRPr="00FC4A81">
        <w:rPr>
          <w:rFonts w:ascii="HP Simplified" w:hAnsi="HP Simplified"/>
          <w:sz w:val="24"/>
          <w:szCs w:val="24"/>
        </w:rPr>
        <w:tab/>
      </w:r>
      <w:r w:rsidRPr="00FC4A81">
        <w:rPr>
          <w:rFonts w:ascii="HP Simplified" w:hAnsi="HP Simplified"/>
          <w:b/>
          <w:sz w:val="24"/>
          <w:szCs w:val="24"/>
        </w:rPr>
        <w:t>II.- FONDO DEL ASUNTO</w:t>
      </w:r>
    </w:p>
    <w:p w14:paraId="3C280697" w14:textId="77777777" w:rsidR="001B2A16" w:rsidRPr="00FC4A81" w:rsidRDefault="001B2A16" w:rsidP="00FC4A81">
      <w:pPr>
        <w:spacing w:before="120" w:after="120"/>
        <w:jc w:val="both"/>
        <w:rPr>
          <w:rFonts w:ascii="HP Simplified" w:hAnsi="HP Simplified"/>
          <w:b/>
          <w:sz w:val="24"/>
          <w:szCs w:val="24"/>
        </w:rPr>
      </w:pPr>
      <w:proofErr w:type="gramStart"/>
      <w:r w:rsidRPr="00FC4A81">
        <w:rPr>
          <w:rFonts w:ascii="HP Simplified" w:hAnsi="HP Simplified"/>
          <w:b/>
          <w:sz w:val="24"/>
          <w:szCs w:val="24"/>
        </w:rPr>
        <w:t>PRIMERO.-</w:t>
      </w:r>
      <w:proofErr w:type="gramEnd"/>
      <w:r w:rsidRPr="00FC4A81">
        <w:rPr>
          <w:rFonts w:ascii="HP Simplified" w:hAnsi="HP Simplified"/>
          <w:b/>
          <w:sz w:val="24"/>
          <w:szCs w:val="24"/>
        </w:rPr>
        <w:t xml:space="preserve"> CADUCIDAD DE LOS PERMISOS DE ACCESO Y CONCEXIÓN CONCEDIDOS PARA EL PROYECTO DE PLANTA FOTOVOLTAICA QUE PROMUEVE </w:t>
      </w:r>
      <w:r w:rsidR="00E81D58" w:rsidRPr="00FC4A81">
        <w:rPr>
          <w:rFonts w:ascii="HP Simplified" w:hAnsi="HP Simplified"/>
          <w:b/>
          <w:sz w:val="24"/>
          <w:szCs w:val="24"/>
        </w:rPr>
        <w:t>CAPELLA AURIGA SL</w:t>
      </w:r>
      <w:r w:rsidRPr="00FC4A81">
        <w:rPr>
          <w:rFonts w:ascii="HP Simplified" w:hAnsi="HP Simplified"/>
          <w:b/>
          <w:sz w:val="24"/>
          <w:szCs w:val="24"/>
        </w:rPr>
        <w:t>. POR INCUMPLIMIENTO DE LOS HITOS ESTABLECIDOS EN EL REAL DECRETO LEY 23/2020, DE 23 DE JUNIO, QUE APRUEBA MEDIDAS EN MATERIA   DE ENERGÍA Y EN OTROS ÁMBITOS PARA LA REACTIVACIÓN ECONÓMICA</w:t>
      </w:r>
    </w:p>
    <w:p w14:paraId="6691A373" w14:textId="7F685A8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El artículo 1 b) de esta norma establece que “Los titulares de los permisos de acceso dispondrán de un plazo máximo de 6 meses para solicitar el permiso de conexión. El plazo señalado será computado desde la fecha de entrada en vigor de este real decreto-ley, excepto para aquellos casos en que aún no se hubiera obtenido el permiso de acceso, para los que computará desde la obtención </w:t>
      </w:r>
      <w:proofErr w:type="gramStart"/>
      <w:r w:rsidRPr="00FC4A81">
        <w:rPr>
          <w:rFonts w:ascii="HP Simplified" w:hAnsi="HP Simplified"/>
          <w:sz w:val="24"/>
          <w:szCs w:val="24"/>
        </w:rPr>
        <w:t>del mismo</w:t>
      </w:r>
      <w:proofErr w:type="gramEnd"/>
      <w:r w:rsidRPr="00FC4A81">
        <w:rPr>
          <w:rFonts w:ascii="HP Simplified" w:hAnsi="HP Simplified"/>
          <w:sz w:val="24"/>
          <w:szCs w:val="24"/>
        </w:rPr>
        <w:t>. La no presentación de esta solicitud en dicho plazo supondrá la caducidad automática del correspondiente permiso de acceso y la ejecución inmediata por el órgano competente para la emisión de las autorizaciones administrativas de las garantías económicas presentadas para tramitar la solicitud de acceso a las redes de transporte y distribución en cumplimiento de lo previsto en los artículos 59 bis y 66 bis del Real Decreto 1955/2000, de 1 de diciembre, por el que se regulan las actividades de transporte, distribución, comercialización, suministro y procedimientos de autorización de instalaciones de energía eléctrica.</w:t>
      </w:r>
    </w:p>
    <w:p w14:paraId="7C384F63" w14:textId="37AFC1AB"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El Servicio Territorial de Industria, Comercio y Economía de la Delegación Territorial de la Junta de Castilla y León, en León, está obligado a declarar la caducidad de los permisos de acceso y conexión concedidos para el proyecto de planta fotovoltaica FV COMP</w:t>
      </w:r>
      <w:r w:rsidR="00FC4A81">
        <w:rPr>
          <w:rFonts w:ascii="HP Simplified" w:hAnsi="HP Simplified"/>
          <w:sz w:val="24"/>
          <w:szCs w:val="24"/>
        </w:rPr>
        <w:t>OSTILLA</w:t>
      </w:r>
      <w:r w:rsidRPr="00FC4A81">
        <w:rPr>
          <w:rFonts w:ascii="HP Simplified" w:hAnsi="HP Simplified"/>
          <w:sz w:val="24"/>
          <w:szCs w:val="24"/>
        </w:rPr>
        <w:t xml:space="preserve"> I</w:t>
      </w:r>
      <w:r w:rsidR="00FC4A81">
        <w:rPr>
          <w:rFonts w:ascii="HP Simplified" w:hAnsi="HP Simplified"/>
          <w:sz w:val="24"/>
          <w:szCs w:val="24"/>
        </w:rPr>
        <w:t>V</w:t>
      </w:r>
      <w:r w:rsidRPr="00FC4A81">
        <w:rPr>
          <w:rFonts w:ascii="HP Simplified" w:hAnsi="HP Simplified"/>
          <w:sz w:val="24"/>
          <w:szCs w:val="24"/>
        </w:rPr>
        <w:t>, al no haberlo hecho así, la Resolución impugnada incurre en una infracción clara del artículo 53.1.a) de la Ley del Sector Eléctrico, lo que determina por sí solo la anulación de la Resolución dictada; el Servicio Territorial tampoco ha verificado el cumplimiento de los criterios establecidos en el anexo II del Real Decreto 1955/2000, de 1 de diciembre, por el que se regulan las actividades de transporte, distribución, comercialización, suministro y procedimientos de autorización de instalaciones de energía eléctrica, lo que conlleva también la anulación de la autorización concedida.</w:t>
      </w:r>
    </w:p>
    <w:p w14:paraId="174A764A" w14:textId="1C58A209"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Tal y como podemos comprobar, la tramitación administrativa siguió los pasos que se detallan a continuación:</w:t>
      </w:r>
    </w:p>
    <w:p w14:paraId="1EA8A8F6" w14:textId="77777777" w:rsidR="001B2A16" w:rsidRPr="00FC4A81" w:rsidRDefault="00E81D58" w:rsidP="00FC4A81">
      <w:pPr>
        <w:spacing w:before="120" w:after="120"/>
        <w:jc w:val="both"/>
        <w:rPr>
          <w:rFonts w:ascii="HP Simplified" w:hAnsi="HP Simplified"/>
          <w:sz w:val="24"/>
          <w:szCs w:val="24"/>
        </w:rPr>
      </w:pPr>
      <w:r w:rsidRPr="00FC4A81">
        <w:rPr>
          <w:rFonts w:ascii="HP Simplified" w:hAnsi="HP Simplified"/>
          <w:sz w:val="24"/>
          <w:szCs w:val="24"/>
        </w:rPr>
        <w:lastRenderedPageBreak/>
        <w:t>1-</w:t>
      </w:r>
      <w:r w:rsidRPr="00FC4A81">
        <w:rPr>
          <w:rFonts w:ascii="HP Simplified" w:hAnsi="HP Simplified"/>
          <w:sz w:val="24"/>
          <w:szCs w:val="24"/>
        </w:rPr>
        <w:tab/>
        <w:t>En fecha 7</w:t>
      </w:r>
      <w:r w:rsidR="001B2A16" w:rsidRPr="00FC4A81">
        <w:rPr>
          <w:rFonts w:ascii="HP Simplified" w:hAnsi="HP Simplified"/>
          <w:sz w:val="24"/>
          <w:szCs w:val="24"/>
        </w:rPr>
        <w:t xml:space="preserve"> de diciembre 2020, don Rafael Martín Rueda, en representación de </w:t>
      </w:r>
      <w:r w:rsidRPr="00FC4A81">
        <w:rPr>
          <w:rFonts w:ascii="HP Simplified" w:hAnsi="HP Simplified"/>
          <w:sz w:val="24"/>
          <w:szCs w:val="24"/>
        </w:rPr>
        <w:t xml:space="preserve">Capella </w:t>
      </w:r>
      <w:proofErr w:type="gramStart"/>
      <w:r w:rsidRPr="00FC4A81">
        <w:rPr>
          <w:rFonts w:ascii="HP Simplified" w:hAnsi="HP Simplified"/>
          <w:sz w:val="24"/>
          <w:szCs w:val="24"/>
        </w:rPr>
        <w:t xml:space="preserve">Auriga </w:t>
      </w:r>
      <w:r w:rsidR="001B2A16" w:rsidRPr="00FC4A81">
        <w:rPr>
          <w:rFonts w:ascii="HP Simplified" w:hAnsi="HP Simplified"/>
          <w:sz w:val="24"/>
          <w:szCs w:val="24"/>
        </w:rPr>
        <w:t xml:space="preserve"> SL</w:t>
      </w:r>
      <w:proofErr w:type="gramEnd"/>
      <w:r w:rsidR="001B2A16" w:rsidRPr="00FC4A81">
        <w:rPr>
          <w:rFonts w:ascii="HP Simplified" w:hAnsi="HP Simplified"/>
          <w:sz w:val="24"/>
          <w:szCs w:val="24"/>
        </w:rPr>
        <w:t>, solicita autorización administrativa Previa y Evaluación de Impacto ambiental para la planta fotovoltaica “</w:t>
      </w:r>
      <w:r w:rsidRPr="00FC4A81">
        <w:rPr>
          <w:rFonts w:ascii="HP Simplified" w:hAnsi="HP Simplified"/>
          <w:sz w:val="24"/>
          <w:szCs w:val="24"/>
        </w:rPr>
        <w:t>COMPOSTILLA IV</w:t>
      </w:r>
      <w:r w:rsidR="001B2A16" w:rsidRPr="00FC4A81">
        <w:rPr>
          <w:rFonts w:ascii="HP Simplified" w:hAnsi="HP Simplified"/>
          <w:sz w:val="24"/>
          <w:szCs w:val="24"/>
        </w:rPr>
        <w:t xml:space="preserve"> en el municipio de Cubillos del Sil (León). </w:t>
      </w:r>
    </w:p>
    <w:p w14:paraId="4766A20F"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2.-</w:t>
      </w:r>
      <w:r w:rsidRPr="00FC4A81">
        <w:rPr>
          <w:rFonts w:ascii="HP Simplified" w:hAnsi="HP Simplified"/>
          <w:sz w:val="24"/>
          <w:szCs w:val="24"/>
        </w:rPr>
        <w:tab/>
        <w:t xml:space="preserve">Con fecha de 15 enero de 2021, el promotor entrega documentación adicional respecto a la solicitud anterior. </w:t>
      </w:r>
    </w:p>
    <w:p w14:paraId="4763F83C" w14:textId="77777777" w:rsidR="001B2A16" w:rsidRPr="00FC4A81" w:rsidRDefault="00E81D58" w:rsidP="00FC4A81">
      <w:pPr>
        <w:spacing w:before="120" w:after="120"/>
        <w:jc w:val="both"/>
        <w:rPr>
          <w:rFonts w:ascii="HP Simplified" w:hAnsi="HP Simplified"/>
          <w:sz w:val="24"/>
          <w:szCs w:val="24"/>
        </w:rPr>
      </w:pPr>
      <w:r w:rsidRPr="00FC4A81">
        <w:rPr>
          <w:rFonts w:ascii="HP Simplified" w:hAnsi="HP Simplified"/>
          <w:sz w:val="24"/>
          <w:szCs w:val="24"/>
        </w:rPr>
        <w:t>3-</w:t>
      </w:r>
      <w:r w:rsidRPr="00FC4A81">
        <w:rPr>
          <w:rFonts w:ascii="HP Simplified" w:hAnsi="HP Simplified"/>
          <w:sz w:val="24"/>
          <w:szCs w:val="24"/>
        </w:rPr>
        <w:tab/>
        <w:t xml:space="preserve"> Con fecha de 10</w:t>
      </w:r>
      <w:r w:rsidR="001B2A16" w:rsidRPr="00FC4A81">
        <w:rPr>
          <w:rFonts w:ascii="HP Simplified" w:hAnsi="HP Simplified"/>
          <w:sz w:val="24"/>
          <w:szCs w:val="24"/>
        </w:rPr>
        <w:t xml:space="preserve"> de septiembre de 2021, se remite comunicación de deficiencias en la documentación presentada con la solicitud.</w:t>
      </w:r>
    </w:p>
    <w:p w14:paraId="124980C3" w14:textId="266AC395" w:rsidR="001B2A16" w:rsidRPr="00FC4A81" w:rsidRDefault="00E81D58" w:rsidP="00FC4A81">
      <w:pPr>
        <w:spacing w:before="120" w:after="120"/>
        <w:jc w:val="both"/>
        <w:rPr>
          <w:rFonts w:ascii="HP Simplified" w:hAnsi="HP Simplified"/>
          <w:sz w:val="24"/>
          <w:szCs w:val="24"/>
        </w:rPr>
      </w:pPr>
      <w:r w:rsidRPr="00FC4A81">
        <w:rPr>
          <w:rFonts w:ascii="HP Simplified" w:hAnsi="HP Simplified"/>
          <w:sz w:val="24"/>
          <w:szCs w:val="24"/>
        </w:rPr>
        <w:t>4-</w:t>
      </w:r>
      <w:r w:rsidRPr="00FC4A81">
        <w:rPr>
          <w:rFonts w:ascii="HP Simplified" w:hAnsi="HP Simplified"/>
          <w:sz w:val="24"/>
          <w:szCs w:val="24"/>
        </w:rPr>
        <w:tab/>
        <w:t xml:space="preserve"> Con fecha de 10 </w:t>
      </w:r>
      <w:r w:rsidR="001B2A16" w:rsidRPr="00FC4A81">
        <w:rPr>
          <w:rFonts w:ascii="HP Simplified" w:hAnsi="HP Simplified"/>
          <w:sz w:val="24"/>
          <w:szCs w:val="24"/>
        </w:rPr>
        <w:t xml:space="preserve">de febrero de 2022, el promotor entrega documentación del acuerdo con el resto de los promotores para la evacuación conjunta al Nudo </w:t>
      </w:r>
      <w:proofErr w:type="spellStart"/>
      <w:r w:rsidR="001B2A16" w:rsidRPr="00FC4A81">
        <w:rPr>
          <w:rFonts w:ascii="HP Simplified" w:hAnsi="HP Simplified"/>
          <w:sz w:val="24"/>
          <w:szCs w:val="24"/>
        </w:rPr>
        <w:t>Compostilla</w:t>
      </w:r>
      <w:proofErr w:type="spellEnd"/>
      <w:r w:rsidR="001B2A16" w:rsidRPr="00FC4A81">
        <w:rPr>
          <w:rFonts w:ascii="HP Simplified" w:hAnsi="HP Simplified"/>
          <w:sz w:val="24"/>
          <w:szCs w:val="24"/>
        </w:rPr>
        <w:t xml:space="preserve"> de REE.</w:t>
      </w:r>
    </w:p>
    <w:p w14:paraId="28DD796E"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 La fecha de admisión a trámite es la fecha que se tiene en cuenta a efectos de determinar la prelación temporal de las solicitudes. La fecha de admisión a trámite de una solicitud es la fecha y hora en la que el solicitante presentó su solicitud siempre y cuando ésta no haya requerido subsanación. En caso de que se haya requerido una o dos subsanaciones de la solicitud, la fecha de admisión a trámite será la última fecha en la que el solicitante haya presentado la información indicada que no haya requerido subsanación posterior en dichos requerimientos.</w:t>
      </w:r>
    </w:p>
    <w:p w14:paraId="2C37C857" w14:textId="68DDEFFD"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El artículo 1 del Real Decreto-ley 23/2020, de 23 de junio, en el que se regulan las condiciones para mantener el acceso y conexión a las redes de transporte y distribución de electricidad, atendiendo a la viabilidad técnica y a la solidez de los proyectos, en función del cumplimiento de los sucesivos hitos administrativos que son necesarios para la autorización y ejecución de </w:t>
      </w:r>
      <w:proofErr w:type="gramStart"/>
      <w:r w:rsidRPr="00FC4A81">
        <w:rPr>
          <w:rFonts w:ascii="HP Simplified" w:hAnsi="HP Simplified"/>
          <w:sz w:val="24"/>
          <w:szCs w:val="24"/>
        </w:rPr>
        <w:t>los mismos</w:t>
      </w:r>
      <w:proofErr w:type="gramEnd"/>
      <w:r w:rsidRPr="00FC4A81">
        <w:rPr>
          <w:rFonts w:ascii="HP Simplified" w:hAnsi="HP Simplified"/>
          <w:sz w:val="24"/>
          <w:szCs w:val="24"/>
        </w:rPr>
        <w:t>. Como se indica en el Preámbulo, «… los plazos máximos que se establecen para el cumplimiento de los distintos hitos tienen en cuenta, por un lado, la antigüedad del permiso y, por otro, la naturaleza del trámite administrativo de que se trate», distinguiéndose cuatro tipologías de permisos de acceso: los concedidos con anterioridad a la entrada en vigor de la Ley 24/2013, de 26 de diciembre, del Sector Eléctrico, los concedidos desde la entrada en vigor de dicha Ley y hasta el 31 de diciembre de 2017, los concedidos desde el 1 de enero de 2018 y hasta la entrada en vigor de este Real Decreto-ley y, por último, los que se concedan tras la entrada en vigor de esta norma. El incumplimiento de los hitos, como señala el Preámbulo, «… supondrá la caducidad automática de los permisos y la ejecución inmediata de las garantías económicas presentadas para la tramitación de la solicitud de acceso a las redes de transporte y distribución, si bien se exceptúan de lo anterior aquellos casos en los que, por causas no imputables al promotor, no se produjese una declaración de impacto ambiental favorable».</w:t>
      </w:r>
    </w:p>
    <w:p w14:paraId="66418D66" w14:textId="254C9F7B"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En el caso que nos ocupa, nos encontramos en el tercer bloque de permisos que se establecen en artículo 1.1, los obtenidos con posterioridad al 31 de diciembre de 2017 y antes de la entrada en vigor del Real Decreto-ley 23/2020, de 23 de junio. Por lo que</w:t>
      </w:r>
      <w:r w:rsidR="008D2A58" w:rsidRPr="00FC4A81">
        <w:rPr>
          <w:rFonts w:ascii="HP Simplified" w:hAnsi="HP Simplified"/>
          <w:sz w:val="24"/>
          <w:szCs w:val="24"/>
        </w:rPr>
        <w:t xml:space="preserve"> el primer hito –solicitud pre</w:t>
      </w:r>
      <w:r w:rsidRPr="00FC4A81">
        <w:rPr>
          <w:rFonts w:ascii="HP Simplified" w:hAnsi="HP Simplified"/>
          <w:sz w:val="24"/>
          <w:szCs w:val="24"/>
        </w:rPr>
        <w:t xml:space="preserve">sentada y admitida de la autorización administrativa </w:t>
      </w:r>
      <w:r w:rsidRPr="00FC4A81">
        <w:rPr>
          <w:rFonts w:ascii="HP Simplified" w:hAnsi="HP Simplified"/>
          <w:sz w:val="24"/>
          <w:szCs w:val="24"/>
        </w:rPr>
        <w:lastRenderedPageBreak/>
        <w:t>previa– había de cumplirse en el plazo máximo de 6 meses, a computar desde el 25 de junio de 2020. Lo que se ha incumplido.</w:t>
      </w:r>
    </w:p>
    <w:p w14:paraId="06BE86EE" w14:textId="4D242565"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El Real Decreto-ley 23/2020, de 23 de junio debe ponerse en relación, además, con el Decreto 107/2003, de 30 de octubre, por el que se regula los procedimientos de autorizaciones administrativas de instalaciones de energía eléctrica en Castilla y León, en cuyo artículo 6.1.a) se dispone que la «Autorización administrativa, que se refiere al anteproyecto de la instalación como documento técnico (…) se tramitará conjuntamente con el estudio de impacto ambiental, en los casos en los que este trámite resulte necesario por su legislación específica», como es el caso del proyecto de planta fotovoltaica FV </w:t>
      </w:r>
      <w:proofErr w:type="spellStart"/>
      <w:r w:rsidR="00FC4A81">
        <w:rPr>
          <w:rFonts w:ascii="HP Simplified" w:hAnsi="HP Simplified"/>
          <w:sz w:val="24"/>
          <w:szCs w:val="24"/>
        </w:rPr>
        <w:t>Compostilla</w:t>
      </w:r>
      <w:proofErr w:type="spellEnd"/>
      <w:r w:rsidR="00FC4A81">
        <w:rPr>
          <w:rFonts w:ascii="HP Simplified" w:hAnsi="HP Simplified"/>
          <w:sz w:val="24"/>
          <w:szCs w:val="24"/>
        </w:rPr>
        <w:t xml:space="preserve"> IV</w:t>
      </w:r>
      <w:r w:rsidR="00443C55">
        <w:rPr>
          <w:rFonts w:ascii="HP Simplified" w:hAnsi="HP Simplified"/>
          <w:sz w:val="24"/>
          <w:szCs w:val="24"/>
        </w:rPr>
        <w:t>.</w:t>
      </w:r>
    </w:p>
    <w:p w14:paraId="564B1886"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Esta exigencia relativa a la tramitación conjunta de la autorización administrativa con el estudio de impacto ambiental obligaba, por tanto, también a que con la solicitud de autorización administrativa previa se presentase toda la documentación correspondiente a la evaluación de impacto ambiental del proyecto. Pudiéndose comprobar en el expediente administrativo, que el Estudio de efectos acumulativos y sinérgicos de los proyectos del nudo de </w:t>
      </w:r>
      <w:proofErr w:type="spellStart"/>
      <w:r w:rsidRPr="00FC4A81">
        <w:rPr>
          <w:rFonts w:ascii="HP Simplified" w:hAnsi="HP Simplified"/>
          <w:sz w:val="24"/>
          <w:szCs w:val="24"/>
        </w:rPr>
        <w:t>Compostilla</w:t>
      </w:r>
      <w:proofErr w:type="spellEnd"/>
      <w:r w:rsidRPr="00FC4A81">
        <w:rPr>
          <w:rFonts w:ascii="HP Simplified" w:hAnsi="HP Simplified"/>
          <w:sz w:val="24"/>
          <w:szCs w:val="24"/>
        </w:rPr>
        <w:t xml:space="preserve"> 220 y sus infraestructuras de evacuación –requerido en base al artículo 35.1.c) de la Ley 21/2013, de 9 de diciembre, de evaluación ambiental– se entregó el día 23 de diciembre de 2021.</w:t>
      </w:r>
    </w:p>
    <w:p w14:paraId="74D699F1" w14:textId="128C69F4"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De lo que se sigue el incumplimiento del plazo máximo establecido en el artículo 1.1 del Real Decreto-ley 23/2020, de 23 de junio. La documentación completa relativa al estudio de impacto ambiental debió presentarse </w:t>
      </w:r>
      <w:proofErr w:type="gramStart"/>
      <w:r w:rsidRPr="00FC4A81">
        <w:rPr>
          <w:rFonts w:ascii="HP Simplified" w:hAnsi="HP Simplified"/>
          <w:sz w:val="24"/>
          <w:szCs w:val="24"/>
        </w:rPr>
        <w:t>conjuntamente con</w:t>
      </w:r>
      <w:proofErr w:type="gramEnd"/>
      <w:r w:rsidRPr="00FC4A81">
        <w:rPr>
          <w:rFonts w:ascii="HP Simplified" w:hAnsi="HP Simplified"/>
          <w:sz w:val="24"/>
          <w:szCs w:val="24"/>
        </w:rPr>
        <w:t xml:space="preserve"> la solicitud de autorización administrativa previa antes del día 26 de diciembre de 2020, lo que determina la caducidad automática de los permisos de acceso y conexión concedidos para el proyecto de la planta fotovoltaica FV </w:t>
      </w:r>
      <w:r w:rsidR="008D2A58" w:rsidRPr="00FC4A81">
        <w:rPr>
          <w:rFonts w:ascii="HP Simplified" w:hAnsi="HP Simplified"/>
          <w:sz w:val="24"/>
          <w:szCs w:val="24"/>
        </w:rPr>
        <w:t>COMPOSTILLA I</w:t>
      </w:r>
      <w:r w:rsidR="00E81D58" w:rsidRPr="00FC4A81">
        <w:rPr>
          <w:rFonts w:ascii="HP Simplified" w:hAnsi="HP Simplified"/>
          <w:sz w:val="24"/>
          <w:szCs w:val="24"/>
        </w:rPr>
        <w:t>V</w:t>
      </w:r>
      <w:r w:rsidRPr="00FC4A81">
        <w:rPr>
          <w:rFonts w:ascii="HP Simplified" w:hAnsi="HP Simplified"/>
          <w:sz w:val="24"/>
          <w:szCs w:val="24"/>
        </w:rPr>
        <w:t xml:space="preserve"> y la consiguiente anulación de la Resolución impugnada.</w:t>
      </w:r>
    </w:p>
    <w:p w14:paraId="67DC995A" w14:textId="77777777" w:rsidR="001B2A16" w:rsidRPr="00FC4A81" w:rsidRDefault="001B2A16" w:rsidP="00FC4A81">
      <w:pPr>
        <w:spacing w:before="120" w:after="120"/>
        <w:jc w:val="both"/>
        <w:rPr>
          <w:rFonts w:ascii="HP Simplified" w:hAnsi="HP Simplified"/>
          <w:b/>
          <w:sz w:val="24"/>
          <w:szCs w:val="24"/>
        </w:rPr>
      </w:pPr>
      <w:proofErr w:type="gramStart"/>
      <w:r w:rsidRPr="00FC4A81">
        <w:rPr>
          <w:rFonts w:ascii="HP Simplified" w:hAnsi="HP Simplified"/>
          <w:b/>
          <w:sz w:val="24"/>
          <w:szCs w:val="24"/>
        </w:rPr>
        <w:t>SEGUNDO.-</w:t>
      </w:r>
      <w:proofErr w:type="gramEnd"/>
      <w:r w:rsidRPr="00FC4A81">
        <w:rPr>
          <w:rFonts w:ascii="HP Simplified" w:hAnsi="HP Simplified"/>
          <w:b/>
          <w:sz w:val="24"/>
          <w:szCs w:val="24"/>
        </w:rPr>
        <w:t xml:space="preserve"> FALTA DE CUMPLIMIENTO DE LOS REQUISITOS ESTABLECIDOS EN LOS ARTÍCULOS 5 Y  53.4 DE LA LEY 24/2013, DE 26 DE DICIEMBRE, DEL SECTOR ELÉCTRICO Y EN EL ARTÍCULO 55.3d) DEL DECRETO LEGISLATIVO 1/2015, DE  12 DE NOVIEMBRE POR EL QUE SE APRUEBA EL TEXTO REFUNDIDO DE LA LEY DE PREVENCIÓN AMBIENTAL DE CASTILLA Y LEÓN, L Y LEGISLACIÓN CONDORDANTE. </w:t>
      </w:r>
    </w:p>
    <w:p w14:paraId="6DD62A79" w14:textId="2FC9780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El artículo 53 de la Ley del Sector Eléctrico, en su apartado 4, establece que:</w:t>
      </w:r>
    </w:p>
    <w:p w14:paraId="4C284CA2"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«Para la autorización de instalaciones de transporte, distribución, producción y líneas directas de energía eléctrica el promotor de </w:t>
      </w:r>
      <w:proofErr w:type="gramStart"/>
      <w:r w:rsidRPr="00FC4A81">
        <w:rPr>
          <w:rFonts w:ascii="HP Simplified" w:hAnsi="HP Simplified"/>
          <w:sz w:val="24"/>
          <w:szCs w:val="24"/>
        </w:rPr>
        <w:t>la misma</w:t>
      </w:r>
      <w:proofErr w:type="gramEnd"/>
      <w:r w:rsidRPr="00FC4A81">
        <w:rPr>
          <w:rFonts w:ascii="HP Simplified" w:hAnsi="HP Simplified"/>
          <w:sz w:val="24"/>
          <w:szCs w:val="24"/>
        </w:rPr>
        <w:t xml:space="preserve"> deberá acreditar suficientemente los siguientes extremos:</w:t>
      </w:r>
    </w:p>
    <w:p w14:paraId="4110B340"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a)</w:t>
      </w:r>
      <w:r w:rsidRPr="00FC4A81">
        <w:rPr>
          <w:rFonts w:ascii="HP Simplified" w:hAnsi="HP Simplified"/>
          <w:sz w:val="24"/>
          <w:szCs w:val="24"/>
        </w:rPr>
        <w:tab/>
        <w:t>Las condiciones técnicas y de seguridad de las instalaciones y del equipo asociado.</w:t>
      </w:r>
    </w:p>
    <w:p w14:paraId="38B97445"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b)</w:t>
      </w:r>
      <w:r w:rsidRPr="00FC4A81">
        <w:rPr>
          <w:rFonts w:ascii="HP Simplified" w:hAnsi="HP Simplified"/>
          <w:sz w:val="24"/>
          <w:szCs w:val="24"/>
        </w:rPr>
        <w:tab/>
        <w:t>El adecuado cumplimiento de las condiciones de protección del medio ambiente.</w:t>
      </w:r>
    </w:p>
    <w:p w14:paraId="3DAE42A0"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c)</w:t>
      </w:r>
      <w:r w:rsidRPr="00FC4A81">
        <w:rPr>
          <w:rFonts w:ascii="HP Simplified" w:hAnsi="HP Simplified"/>
          <w:sz w:val="24"/>
          <w:szCs w:val="24"/>
        </w:rPr>
        <w:tab/>
        <w:t>Las características del emplazamiento de la instalación.</w:t>
      </w:r>
    </w:p>
    <w:p w14:paraId="3E5F91B5" w14:textId="5F0E7BD5"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lastRenderedPageBreak/>
        <w:t>d)</w:t>
      </w:r>
      <w:r w:rsidRPr="00FC4A81">
        <w:rPr>
          <w:rFonts w:ascii="HP Simplified" w:hAnsi="HP Simplified"/>
          <w:sz w:val="24"/>
          <w:szCs w:val="24"/>
        </w:rPr>
        <w:tab/>
        <w:t>Su capacidad legal, técnica y económica-financiera para la realización del proyecto».</w:t>
      </w:r>
    </w:p>
    <w:p w14:paraId="7365B2A7"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El promotor ha de acreditar el cumplimiento de los requisitos ambientales y justificar el emplazamiento elegido desde el punto de vista legal, técnico y económico-financiero.</w:t>
      </w:r>
    </w:p>
    <w:p w14:paraId="1F83B212"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sz w:val="24"/>
          <w:szCs w:val="24"/>
        </w:rPr>
        <w:t xml:space="preserve">Por su parte, el artículo 5 de la Ley 24/2013, de 26 de diciembre, del Sector Eléctrico establece que </w:t>
      </w:r>
      <w:r w:rsidRPr="00FC4A81">
        <w:rPr>
          <w:rFonts w:ascii="HP Simplified" w:hAnsi="HP Simplified"/>
          <w:i/>
          <w:sz w:val="24"/>
          <w:szCs w:val="24"/>
        </w:rPr>
        <w:t>“1.- La planificación de las instalaciones de transporte y distribución de energía eléctrica, que se ubiquen o discurran en cualquier clase y categoría de suelo, deberá tenerse en cuenta en el correspondiente instrumento de ordenación del territorio y urbanístico, el cual deberá precisar las posibles instalaciones y calificar adecuadamente los terrenos, estableciendo en ambos casos, las reservas de suelo necesarias para la ubicación de las nuevas instalaciones y la protección de las existentes.</w:t>
      </w:r>
    </w:p>
    <w:p w14:paraId="1A532AB1" w14:textId="49B18BAC"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2.- Cuando existan rezones justificadas de urgencia o excepcional interés para el suministro de energía eléctrica que aconsejan el establecimiento de instalaciones de transporte y distribución que precisen de un acto de intervención municipal previo, se estará a los dispuesto en la disposición adicional décima del texto refundido de la Ley del suelo aprobado por el Real Decreto Legislativo 2/2008, de 20 de junio. El mismo procedimiento será aplicable en los casos en que existan instrumentos de ordenación territorial y urbanística ya aprobados definitivamente, en los que no se haya tenido en cuenta la planificación eléctrica conforme al apartado anterior.</w:t>
      </w:r>
    </w:p>
    <w:p w14:paraId="03998D17"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 xml:space="preserve">3 </w:t>
      </w:r>
      <w:proofErr w:type="gramStart"/>
      <w:r w:rsidRPr="00FC4A81">
        <w:rPr>
          <w:rFonts w:ascii="HP Simplified" w:hAnsi="HP Simplified"/>
          <w:i/>
          <w:sz w:val="24"/>
          <w:szCs w:val="24"/>
        </w:rPr>
        <w:t>(….</w:t>
      </w:r>
      <w:proofErr w:type="gramEnd"/>
      <w:r w:rsidRPr="00FC4A81">
        <w:rPr>
          <w:rFonts w:ascii="HP Simplified" w:hAnsi="HP Simplified"/>
          <w:i/>
          <w:sz w:val="24"/>
          <w:szCs w:val="24"/>
        </w:rPr>
        <w:t>)</w:t>
      </w:r>
    </w:p>
    <w:p w14:paraId="34C65517"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4.- A todos los efectos, las infraestructuras propias de las actividades del suministro eléctrico, reconocidas de utilidad pública por la presente ley, tendrán la condición de sistemas generales”.</w:t>
      </w:r>
    </w:p>
    <w:p w14:paraId="37BB33DD"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La sentencia de 21 de septiembre de 2015, recaída en el recurso de casación 4555/2012 establece que:</w:t>
      </w:r>
    </w:p>
    <w:p w14:paraId="23C17D54"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 xml:space="preserve">"PRIMERO.- La Generalidad de Cataluña y la entidad mercantil Acciona Energía SA interponen sendos recursos de casación contra la sentencia de 18 de septiembre de 2.008, dictada por la Sala de lo Contencioso-Administrativo (Sección Tercera) del Tribunal Superior de Justicia de Cataluña que estimó parcialmente el recurso contencioso administrativo entablado por D. Secundino contra la resolución de la Dirección General de Energía, Minas y Seguridad Industrial del Departamento de Trabajo e Industria de 2 de septiembre de 2005, luego confirmada en alzada por resolución del Consejero de dicho Departamento de 7 de junio de 2.006. Mediante dicha resolución, anulada por la citada sentencia que se impugna en el presente recurso de casación, se otorgaba a la empresa Corporación Energía Hidroeléctrica de Navarra SA la autorización administrativa del parque eólico y se declaraba de utilidad pública el mencionado Parque Eólico "Serra de </w:t>
      </w:r>
      <w:proofErr w:type="spellStart"/>
      <w:r w:rsidRPr="00FC4A81">
        <w:rPr>
          <w:rFonts w:ascii="HP Simplified" w:hAnsi="HP Simplified"/>
          <w:i/>
          <w:sz w:val="24"/>
          <w:szCs w:val="24"/>
        </w:rPr>
        <w:t>Viloví</w:t>
      </w:r>
      <w:proofErr w:type="spellEnd"/>
      <w:r w:rsidRPr="00FC4A81">
        <w:rPr>
          <w:rFonts w:ascii="HP Simplified" w:hAnsi="HP Simplified"/>
          <w:i/>
          <w:sz w:val="24"/>
          <w:szCs w:val="24"/>
        </w:rPr>
        <w:t xml:space="preserve">" en los términos municipales de Tarrés y </w:t>
      </w:r>
      <w:proofErr w:type="spellStart"/>
      <w:r w:rsidRPr="00FC4A81">
        <w:rPr>
          <w:rFonts w:ascii="HP Simplified" w:hAnsi="HP Simplified"/>
          <w:i/>
          <w:sz w:val="24"/>
          <w:szCs w:val="24"/>
        </w:rPr>
        <w:t>Fulleda</w:t>
      </w:r>
      <w:proofErr w:type="spellEnd"/>
      <w:r w:rsidRPr="00FC4A81">
        <w:rPr>
          <w:rFonts w:ascii="HP Simplified" w:hAnsi="HP Simplified"/>
          <w:i/>
          <w:sz w:val="24"/>
          <w:szCs w:val="24"/>
        </w:rPr>
        <w:t>.</w:t>
      </w:r>
    </w:p>
    <w:p w14:paraId="50F1C366" w14:textId="77777777" w:rsidR="001B2A16" w:rsidRPr="00FC4A81" w:rsidRDefault="001B2A16" w:rsidP="00FC4A81">
      <w:pPr>
        <w:spacing w:before="120" w:after="120"/>
        <w:jc w:val="both"/>
        <w:rPr>
          <w:rFonts w:ascii="HP Simplified" w:hAnsi="HP Simplified"/>
          <w:i/>
          <w:sz w:val="24"/>
          <w:szCs w:val="24"/>
        </w:rPr>
      </w:pPr>
    </w:p>
    <w:p w14:paraId="2C7E325C" w14:textId="3B48118A"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 xml:space="preserve">La Sala de instancia fundamenta la decisión de estimación parcial del recurso contencioso administrativo con base en las siguientes consideraciones jurídicas: </w:t>
      </w:r>
    </w:p>
    <w:p w14:paraId="4F03DFE0" w14:textId="5BE65029"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 Finalmente y a resultas de lo resuelto por el Tribunal Supremo Sala 3ª Sección 3ª en su Sentencia de 3 de octubre de 2011 y de lo acordado en nuestras providencias de 9 de febrero de 2012 y de 9 de julio de 2012, procede detener la atención sobre la denunciada falta de certificación de compatibilidad con el planeamiento urbanístico o en si el proyecto y la actividad proyectada está o no permitida por el planeamiento y las normas urbanísticas. En definitiva</w:t>
      </w:r>
      <w:r w:rsidR="00FC4A81">
        <w:rPr>
          <w:rFonts w:ascii="HP Simplified" w:hAnsi="HP Simplified"/>
          <w:i/>
          <w:sz w:val="24"/>
          <w:szCs w:val="24"/>
        </w:rPr>
        <w:t>,</w:t>
      </w:r>
      <w:r w:rsidRPr="00FC4A81">
        <w:rPr>
          <w:rFonts w:ascii="HP Simplified" w:hAnsi="HP Simplified"/>
          <w:i/>
          <w:sz w:val="24"/>
          <w:szCs w:val="24"/>
        </w:rPr>
        <w:t xml:space="preserve"> si la instalación del parque eólico de autos se ajusta o no al ordenamiento jurídico urbanístico.</w:t>
      </w:r>
    </w:p>
    <w:p w14:paraId="25925344" w14:textId="2D9E0AEA"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Pues bien, a ese respecto procede ir sentando lo siguiente:</w:t>
      </w:r>
    </w:p>
    <w:p w14:paraId="79911391"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1 - Tomando en consideración el de junio, regulador de la implantación de la energía eólica, ya en su Exposición de Motivos resulta clara su voluntad de integrar, de un lado, la autorización a la que los parques eólicos están sometidos en su condición de instalaciones energéticas que otorga el Departamento de Industria, Comercio y Turismo, con, de otro lado, la actuación y las actuaciones que hace falta llevar a cabo en materia ambiental que corresponden al Departamento de Medio Ambiente.</w:t>
      </w:r>
    </w:p>
    <w:p w14:paraId="5A179DE5" w14:textId="23157A91"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A su vez si se dirige la atención a su artículo 1 resulta manifiesto que una de las finalidades de interés para el presente caso, y es la primera -letra a)-, se identifica con integrar y simplificar los diversos trámites sectoriales en un procedimiento común.</w:t>
      </w:r>
    </w:p>
    <w:p w14:paraId="4AE8FE5C" w14:textId="0A0BD210"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Pero es que con la regulación de su Capítulo III titulado Procedimiento de Autorización administrativa resalta por su ordenación en su artículo 12 que el procedimiento de autorización pivota:</w:t>
      </w:r>
    </w:p>
    <w:p w14:paraId="414E3FC6" w14:textId="74A29930"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a)</w:t>
      </w:r>
      <w:r w:rsidRPr="00FC4A81">
        <w:rPr>
          <w:rFonts w:ascii="HP Simplified" w:hAnsi="HP Simplified"/>
          <w:i/>
          <w:sz w:val="24"/>
          <w:szCs w:val="24"/>
        </w:rPr>
        <w:tab/>
        <w:t>De una parte, a los efectos de la intervención Integral de la Administración Ambiental, en su inclusión en el Anexo 2.1 y con el título de licencia ambiental.</w:t>
      </w:r>
    </w:p>
    <w:p w14:paraId="71F17761"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b)</w:t>
      </w:r>
      <w:r w:rsidRPr="00FC4A81">
        <w:rPr>
          <w:rFonts w:ascii="HP Simplified" w:hAnsi="HP Simplified"/>
          <w:i/>
          <w:sz w:val="24"/>
          <w:szCs w:val="24"/>
        </w:rPr>
        <w:tab/>
        <w:t>De otra parte y en los supuestos establecidos en su artículo 13 con el sometimiento al trámite de la declaración de impacto ambiental.</w:t>
      </w:r>
    </w:p>
    <w:p w14:paraId="0A56E94F" w14:textId="1CDBC1FF"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a)</w:t>
      </w:r>
      <w:r w:rsidRPr="00FC4A81">
        <w:rPr>
          <w:rFonts w:ascii="HP Simplified" w:hAnsi="HP Simplified"/>
          <w:i/>
          <w:sz w:val="24"/>
          <w:szCs w:val="24"/>
        </w:rPr>
        <w:tab/>
        <w:t>Y, finalmente, la construcción, explotación, modificación sustancial, transmisión y el cierre de parques eólicos se somete al régimen de autorización administrativa previa a otorgar por el órgano competente del Departamento de Industria, Comercio y Turismo de conformidad con lo establecido en el artículo 28 de la Ley 54/1997, de 27 de noviembre, del sector eléctrico</w:t>
      </w:r>
    </w:p>
    <w:p w14:paraId="357C9160" w14:textId="32B1D659"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 xml:space="preserve">En definitiva examinados los artículos 14 y siguientes de ese este tribunal sigue entendiendo que no abriga ninguna duda que en el procedimiento común establecido se involucra tanto la solicitud de licencia ambiental, la perspectiva medioambiental como la autorización administrativa energética a ir resolviendo en su momento y a ello hay que estar, desde luego y sin perjuicio de los pronunciamientos que haya lugar a adoptar por las respectivas administraciones competentes en cada una de esas materias. Y todo ello corroborado expresa y expresivamente con la fundamentación del tenor de la autorización concedida por la Administración en la que se hace </w:t>
      </w:r>
      <w:r w:rsidRPr="00FC4A81">
        <w:rPr>
          <w:rFonts w:ascii="HP Simplified" w:hAnsi="HP Simplified"/>
          <w:i/>
          <w:sz w:val="24"/>
          <w:szCs w:val="24"/>
        </w:rPr>
        <w:lastRenderedPageBreak/>
        <w:t>referencia al Decreto 136/1999, de 18 de mayo, por el que se aprueba el Reglamento general de desarrollo de la intervención integral de la administración ambiental, y se adaptan sus anexos.</w:t>
      </w:r>
    </w:p>
    <w:p w14:paraId="234E88F9" w14:textId="6B78E9C0"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2.- Siendo ello así el convencimiento debe recaer y recae en que el procedimiento común establecido por el , regulador de la implantación de la energía eólica, en forma alguna ni siquiera por su rango puede apartar de su consideración la necesidad de que concurra en la solicitud la certificación de compatibilidad urbanística establecida legalmente en el o dicho de otra manera que exista no sólo la certificación de compatibilidad urbanística -como elemento formal- sino que exista y concurra la conformidad al ordenamiento urbanístico -como elemento de fondo-.</w:t>
      </w:r>
    </w:p>
    <w:p w14:paraId="1898AB0D" w14:textId="18AC52CA"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3.- Es más, a esos efectos no debe sorprender que con ello de lo que se trata es de atender al necesario ajuste de lo proyectado con el ordenamiento jurídico urbanístico de tal suerte que aunque exista ab initio" esa certificación en modo alguno cabe pensar que no resulta dable examinar esa temática sino que precisamente con ello en el correspondiente caso resulta innegable la necesidad de ese análisis para examinar esa conformidad o no al derecho urbanístico sin que el control jurisdiccional quede vinculado al tenor de esa certificación.</w:t>
      </w:r>
    </w:p>
    <w:p w14:paraId="3B8BF4A2" w14:textId="25F0DE22"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 xml:space="preserve">4.- Como resulta sobradamente conocido y por principio sin perjuicio de las matizaciones que se han efectuado y sea dable efectuar en otros supuestos, la licencia de actividades -o la titulación medioambiental que nos ocupa- debe ser previa o simultánea a la licencia de obras - artículo 77.4 del Decreto 179/1995, de 13 de </w:t>
      </w:r>
      <w:proofErr w:type="gramStart"/>
      <w:r w:rsidRPr="00FC4A81">
        <w:rPr>
          <w:rFonts w:ascii="HP Simplified" w:hAnsi="HP Simplified"/>
          <w:i/>
          <w:sz w:val="24"/>
          <w:szCs w:val="24"/>
        </w:rPr>
        <w:t>junio ,</w:t>
      </w:r>
      <w:proofErr w:type="gramEnd"/>
      <w:r w:rsidRPr="00FC4A81">
        <w:rPr>
          <w:rFonts w:ascii="HP Simplified" w:hAnsi="HP Simplified"/>
          <w:i/>
          <w:sz w:val="24"/>
          <w:szCs w:val="24"/>
        </w:rPr>
        <w:t xml:space="preserve"> por el que se aprueba el Reglamento de obras, actividades y servicios de las entidades locales-.</w:t>
      </w:r>
    </w:p>
    <w:p w14:paraId="1A566CE1" w14:textId="24869485"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Quizá en el presente caso invirtiendo la necesidad de la licencia ambiental para con la de obras se trata de poner de manifiesto una licencia de obras en suelo no urbanizable por la vía del artículo 48 de la Ley 2/2002, de 14 de marzo, de Urbanismo de Cataluña, que de algún modo sustituya el certificado de aprovechamiento urbanístico.</w:t>
      </w:r>
    </w:p>
    <w:p w14:paraId="009BC39E"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Pues bien, ese supuesto no concurre en la medida que por lo expuesto en forma alguna se ha puesto de manifiesto con la debida claridad la concurrencia de una licencia de esa naturaleza precisamente con el mismo contenido objetivo que el propio de la autorización del sector eléctrico y de la licencia medioambiental que concurre en el supuesto de autos por lo que los esfuerzos que se ofrecen por las partes codemandadas tratando de dar por probado lo que es precisamente el objeto de prueba de necesaria concurrencia y que se ha abandonado, no resultan procedentes y debiéndose estar a esa dejación de prueba en forma alguna a suplir por este órgano jurisdiccional, debe concluirse lisa y llanamente a los efectos del presente proceso que no se ha demostrado debidamente que concurra una certificación de compatibilidad urbanística ni una titulación de efectos urbanísticos como la pretendida.</w:t>
      </w:r>
    </w:p>
    <w:p w14:paraId="72AC40A3" w14:textId="77777777"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w:t>
      </w:r>
    </w:p>
    <w:p w14:paraId="7A9B3C91" w14:textId="59FC87CF"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 xml:space="preserve">Por consiguiente, en consideración a la relevante entidad del caso que se enjuicia debe estarse al régimen jurídico del planeamiento urbanístico para con el empleo de sus </w:t>
      </w:r>
      <w:r w:rsidRPr="00FC4A81">
        <w:rPr>
          <w:rFonts w:ascii="HP Simplified" w:hAnsi="HP Simplified"/>
          <w:i/>
          <w:sz w:val="24"/>
          <w:szCs w:val="24"/>
        </w:rPr>
        <w:lastRenderedPageBreak/>
        <w:t>técnicas apurar el examen requerido y finalmente en el ejercicio de la potestad discrecional de planeamiento ubicar idóneamente en su emplazamiento el sistema de autos.</w:t>
      </w:r>
    </w:p>
    <w:p w14:paraId="418D97CC" w14:textId="47F2F3B4" w:rsidR="001B2A16" w:rsidRPr="00FC4A81" w:rsidRDefault="001B2A16" w:rsidP="00FC4A81">
      <w:pPr>
        <w:spacing w:before="120" w:after="120"/>
        <w:jc w:val="both"/>
        <w:rPr>
          <w:rFonts w:ascii="HP Simplified" w:hAnsi="HP Simplified"/>
          <w:i/>
          <w:sz w:val="24"/>
          <w:szCs w:val="24"/>
        </w:rPr>
      </w:pPr>
      <w:r w:rsidRPr="00FC4A81">
        <w:rPr>
          <w:rFonts w:ascii="HP Simplified" w:hAnsi="HP Simplified"/>
          <w:i/>
          <w:sz w:val="24"/>
          <w:szCs w:val="24"/>
        </w:rPr>
        <w:t>Efectivamente desde esa perspectiva relegar el examen de descartar ubicaciones alternativas y concretar la ubicación idónea en sintonía con el planeamiento territorial sectorial en liza a la mera iniciativa de un solicitante de autorización/</w:t>
      </w:r>
      <w:proofErr w:type="spellStart"/>
      <w:r w:rsidRPr="00FC4A81">
        <w:rPr>
          <w:rFonts w:ascii="HP Simplified" w:hAnsi="HP Simplified"/>
          <w:i/>
          <w:sz w:val="24"/>
          <w:szCs w:val="24"/>
        </w:rPr>
        <w:t>ones</w:t>
      </w:r>
      <w:proofErr w:type="spellEnd"/>
      <w:r w:rsidRPr="00FC4A81">
        <w:rPr>
          <w:rFonts w:ascii="HP Simplified" w:hAnsi="HP Simplified"/>
          <w:i/>
          <w:sz w:val="24"/>
          <w:szCs w:val="24"/>
        </w:rPr>
        <w:t xml:space="preserve"> o licencia/s para el/los terreno/s que le interese/n no es sino una hábil manera de reducir a la nada tanto la potestad discrecional del planeamiento como el régimen y garantías que deben presidir la órbita del planeamiento, no se olvide, a los efectos de la debida y puntual fijación de los Sistemas, en cuanto elementos sustanciales y determinantes del desarrollo urbano y que conforman la estructura genera y orgánica del territorio”.</w:t>
      </w:r>
    </w:p>
    <w:p w14:paraId="700552DC" w14:textId="7571AF31"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u w:val="single"/>
        </w:rPr>
        <w:t>Por su parte, la STSJ CASTILLA y LEÓN con sede en Burgos, de 24 de junio de 2022, resolución 194/2022 recurso 90/2022, establece que</w:t>
      </w:r>
      <w:r w:rsidRPr="00FC4A81">
        <w:rPr>
          <w:rFonts w:ascii="HP Simplified" w:hAnsi="HP Simplified"/>
          <w:sz w:val="24"/>
          <w:szCs w:val="24"/>
        </w:rPr>
        <w:t xml:space="preserve"> “Es indudable que el objeto del recurso no es la Modificación Puntual número 18 de las Normas Urbanísticas Municipales, sino la resolución por la que se acuerda inadmitir la solicitud de inicio de evaluación de impacto ambiental ordinaria. Ahora bien, la causa de esta inadmisión es la contemplada en el artículo 55.3.d) del Decreto Legislativo 1/2015, de 12 de noviembre, por el que se aprueba el texto refundido de la Ley de Prevención Ambiental de Castilla y León, según se recoge en la resolución de 5 de marzo de 2019. Así se desprende del párrafo último de los Fundamentos de Derecho de la Resolución de 5 de marzo de 2019: "Los informes municipales emitidos al hilo del expediente de inadmisión no dejan lugar a las dudas acerca de la posición del Ayuntamiento de </w:t>
      </w:r>
      <w:proofErr w:type="spellStart"/>
      <w:r w:rsidRPr="00FC4A81">
        <w:rPr>
          <w:rFonts w:ascii="HP Simplified" w:hAnsi="HP Simplified"/>
          <w:sz w:val="24"/>
          <w:szCs w:val="24"/>
        </w:rPr>
        <w:t>Cidones</w:t>
      </w:r>
      <w:proofErr w:type="spellEnd"/>
      <w:r w:rsidRPr="00FC4A81">
        <w:rPr>
          <w:rFonts w:ascii="HP Simplified" w:hAnsi="HP Simplified"/>
          <w:sz w:val="24"/>
          <w:szCs w:val="24"/>
        </w:rPr>
        <w:t xml:space="preserve"> en torno a la viabilidad del proyecto desde la perspectiva urbanística. Juntos concluyen que existe incompatibilidad </w:t>
      </w:r>
      <w:proofErr w:type="gramStart"/>
      <w:r w:rsidRPr="00FC4A81">
        <w:rPr>
          <w:rFonts w:ascii="HP Simplified" w:hAnsi="HP Simplified"/>
          <w:sz w:val="24"/>
          <w:szCs w:val="24"/>
        </w:rPr>
        <w:t>y</w:t>
      </w:r>
      <w:proofErr w:type="gramEnd"/>
      <w:r w:rsidRPr="00FC4A81">
        <w:rPr>
          <w:rFonts w:ascii="HP Simplified" w:hAnsi="HP Simplified"/>
          <w:sz w:val="24"/>
          <w:szCs w:val="24"/>
        </w:rPr>
        <w:t xml:space="preserve"> en consecuencia, son inviables los proyectos presentados en términos estrictos de normativa urbanística aplicable. En este contexto, el respeto al principio de autonomía municipal que consagra el art. 140 de la C-78 y la condición del municipio de </w:t>
      </w:r>
      <w:proofErr w:type="spellStart"/>
      <w:r w:rsidRPr="00FC4A81">
        <w:rPr>
          <w:rFonts w:ascii="HP Simplified" w:hAnsi="HP Simplified"/>
          <w:sz w:val="24"/>
          <w:szCs w:val="24"/>
        </w:rPr>
        <w:t>Cidones</w:t>
      </w:r>
      <w:proofErr w:type="spellEnd"/>
      <w:r w:rsidRPr="00FC4A81">
        <w:rPr>
          <w:rFonts w:ascii="HP Simplified" w:hAnsi="HP Simplified"/>
          <w:sz w:val="24"/>
          <w:szCs w:val="24"/>
        </w:rPr>
        <w:t xml:space="preserve"> como titular de las competencias de dirección y control de la actividad urbanística y el desarrollo de </w:t>
      </w:r>
      <w:proofErr w:type="gramStart"/>
      <w:r w:rsidRPr="00FC4A81">
        <w:rPr>
          <w:rFonts w:ascii="HP Simplified" w:hAnsi="HP Simplified"/>
          <w:sz w:val="24"/>
          <w:szCs w:val="24"/>
        </w:rPr>
        <w:t>la misma</w:t>
      </w:r>
      <w:proofErr w:type="gramEnd"/>
      <w:r w:rsidRPr="00FC4A81">
        <w:rPr>
          <w:rFonts w:ascii="HP Simplified" w:hAnsi="HP Simplified"/>
          <w:sz w:val="24"/>
          <w:szCs w:val="24"/>
        </w:rPr>
        <w:t xml:space="preserve"> dentro de su término, han de conllevar indefectiblemente a la asunción formal de idéntica posición por parte de esta Comisión".</w:t>
      </w:r>
    </w:p>
    <w:p w14:paraId="1748B564"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Este Decreto Legislativo 1/2015, recoge en su artículo 55.3.d) (que es el considerado por la Administración autonómica): " En la tramitación de la evaluación de impacto ambiental de los proyectos a los que se refiere el artículo 49 una vez recibida la solicitud de inicio de la evaluación de impacto ambiental, el órgano ambiental, podrá resolver su inadmisión por alguna de las siguientes razones: .... d) Si existiese un pronunciamiento del órgano de la Administración pública competente en el que se ponga de manifiesto la inviabilidad del proyecto, basada en el incumplimiento de la normativa sectorial o de los instrumentos de planeamiento urbanístico u ordenación del territorio".</w:t>
      </w:r>
    </w:p>
    <w:p w14:paraId="5B636D5B"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Teniendo en cuenta esta causa de inadmisión y considerando que el motivo de la inadmisión es el informe desfavorable de la Administración local en cuanto a la inviabilidad del proyecto desde la perspectiva urbanística, es preciso apreciar si este </w:t>
      </w:r>
      <w:r w:rsidRPr="00FC4A81">
        <w:rPr>
          <w:rFonts w:ascii="HP Simplified" w:hAnsi="HP Simplified"/>
          <w:sz w:val="24"/>
          <w:szCs w:val="24"/>
        </w:rPr>
        <w:lastRenderedPageBreak/>
        <w:t>informe se ajusta a derecho teniendo en cuenta no sólo la normativa recogida por las Normas Urbanísticas Municipales vigentes en el momento de la solicitud y de emitirse el informe, sino que también es preciso estudiar si se ajusta al planeamiento atendiendo a la Modificación Puntual número 18”.</w:t>
      </w:r>
    </w:p>
    <w:p w14:paraId="10672676" w14:textId="255AD726"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En resumen, conforme a lo establecido en el artículo 55.3d) del Decreto Legislativo 1/2015, de 12 de noviembre por el que se aprueba el texto refundido de la Ley de Prevención Ambiental de Castilla y León, los proyectos sometidos a evaluación de impacto ambiental conforme a lo establecido en su artículo 49 serán inadmitidos “si existiese un pronunciamiento del órgano de la Administración pública competente en el que se ponga de manifiesto la inviabilidad del proyecto, basada en el incumplimiento de la normativa sectorial o de los instrumentos de planeamiento urbanístico u ordenación del territorio”, con lo cual, dada la incompatibilidad del proyecto presentado por </w:t>
      </w:r>
      <w:r w:rsidR="00E81D58" w:rsidRPr="00FC4A81">
        <w:rPr>
          <w:rFonts w:ascii="HP Simplified" w:hAnsi="HP Simplified"/>
          <w:sz w:val="24"/>
          <w:szCs w:val="24"/>
        </w:rPr>
        <w:t>CAPELLA AURIGA</w:t>
      </w:r>
      <w:r w:rsidRPr="00FC4A81">
        <w:rPr>
          <w:rFonts w:ascii="HP Simplified" w:hAnsi="HP Simplified"/>
          <w:sz w:val="24"/>
          <w:szCs w:val="24"/>
        </w:rPr>
        <w:t xml:space="preserve"> SL, con el planeamiento urbanístico de Cubillos del Sil, debió inadmitirse la tramitación de la evaluación de impacto ambiental tramitada. En cualquier caso, la incompatibilidad urbanística determina la nulidad de la declaración de impacto ambiental tramitada.</w:t>
      </w:r>
    </w:p>
    <w:p w14:paraId="603B2DA5" w14:textId="77777777" w:rsidR="001B2A16" w:rsidRPr="00FC4A81" w:rsidRDefault="001B2A16" w:rsidP="00FC4A81">
      <w:pPr>
        <w:spacing w:before="120" w:after="120"/>
        <w:jc w:val="both"/>
        <w:rPr>
          <w:rFonts w:ascii="HP Simplified" w:hAnsi="HP Simplified"/>
          <w:b/>
          <w:sz w:val="24"/>
          <w:szCs w:val="24"/>
        </w:rPr>
      </w:pPr>
      <w:proofErr w:type="gramStart"/>
      <w:r w:rsidRPr="00FC4A81">
        <w:rPr>
          <w:rFonts w:ascii="HP Simplified" w:hAnsi="HP Simplified"/>
          <w:b/>
          <w:sz w:val="24"/>
          <w:szCs w:val="24"/>
        </w:rPr>
        <w:t>TERCERO.-</w:t>
      </w:r>
      <w:proofErr w:type="gramEnd"/>
      <w:r w:rsidRPr="00FC4A81">
        <w:rPr>
          <w:rFonts w:ascii="HP Simplified" w:hAnsi="HP Simplified"/>
          <w:b/>
          <w:sz w:val="24"/>
          <w:szCs w:val="24"/>
        </w:rPr>
        <w:t xml:space="preserve"> CADUCIDAD DEL PROCEDIMIENTO DE OTORGAMIENTO DE LAS AUTORIZACIONES PREVIA Y  DECLARACIÓN DE IMPACTO AMBIENTAL CONFORME A LA DISPOSICIÓN TRANSITORIA PRIMERA, PUNTO 3, SEGUNDO PÁRRAFO DEL DECRETO LEY 2/2022, DE 23 DE JUNIO DE CASTILLA Y LEÓN,  POR LE QUE SE ADOPTAN MEDIDAS URGENTES PARA LA AGILIZACIÓN DE LA GESTIÓN DE LOS FONDOS EUROPEOS Y EL IMPULSO DE LA ACTIVIDAD ECONÓMICA. </w:t>
      </w:r>
    </w:p>
    <w:p w14:paraId="5952F64C" w14:textId="7D97F05F"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Esta norma establece en su punto 3 segundo párrafo que “Cuando estos proyectos hayan superado la fase de exposición pública y su ubicación no sea posible de acuerdo con los criterios establecidos en el artículo 13, y en el caso de que el promotor no haya desistido del mismo, se continuará con el procedimiento ordinario que le correspondiese de acuerdo con la norma vigente en el momento de la solicitud, hasta la resolución final de dicho procedimiento que deberá producirse en un plazo máximo de 3 meses desde la entrada en vigor de este decreto ley”. </w:t>
      </w:r>
    </w:p>
    <w:p w14:paraId="5EBF95E7"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Según la disposición final cuarta de este Decreto Ley 2/2022, de 23 de junio de Castilla y León, “el presente Decreto-ley entrará en vigor el día siguiente al de su publicación en el “Boletín Oficial de Castilla y León””.</w:t>
      </w:r>
    </w:p>
    <w:p w14:paraId="76E6A604"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Este Decreto-ley se publicó en el BOCYL nº 121, de 24 de junio de 2022, con lo que está en vigor desde el 25 de junio de 2022.</w:t>
      </w:r>
    </w:p>
    <w:p w14:paraId="097BE543" w14:textId="22ABF6AC"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En consecuencia, el plazo de tres meses indicado en la Disposición </w:t>
      </w:r>
      <w:r w:rsidR="002B2D39" w:rsidRPr="00FC4A81">
        <w:rPr>
          <w:rFonts w:ascii="HP Simplified" w:hAnsi="HP Simplified"/>
          <w:sz w:val="24"/>
          <w:szCs w:val="24"/>
        </w:rPr>
        <w:t>Transitoria Primera</w:t>
      </w:r>
      <w:r w:rsidRPr="00FC4A81">
        <w:rPr>
          <w:rFonts w:ascii="HP Simplified" w:hAnsi="HP Simplified"/>
          <w:sz w:val="24"/>
          <w:szCs w:val="24"/>
        </w:rPr>
        <w:t xml:space="preserve">, punto 3 segundo párrafo transcurrió el 25 de septiembre de 2022. </w:t>
      </w:r>
    </w:p>
    <w:p w14:paraId="7116EDEA"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Transcurrido el 25 de septiembre de 2022 sin haberse producido la resolución final del procedimiento, se produce la caducidad </w:t>
      </w:r>
      <w:proofErr w:type="gramStart"/>
      <w:r w:rsidRPr="00FC4A81">
        <w:rPr>
          <w:rFonts w:ascii="HP Simplified" w:hAnsi="HP Simplified"/>
          <w:sz w:val="24"/>
          <w:szCs w:val="24"/>
        </w:rPr>
        <w:t>del mismo</w:t>
      </w:r>
      <w:proofErr w:type="gramEnd"/>
      <w:r w:rsidRPr="00FC4A81">
        <w:rPr>
          <w:rFonts w:ascii="HP Simplified" w:hAnsi="HP Simplified"/>
          <w:sz w:val="24"/>
          <w:szCs w:val="24"/>
        </w:rPr>
        <w:t xml:space="preserve"> en los términos establecido en la normativa invocada anteriormente.</w:t>
      </w:r>
    </w:p>
    <w:p w14:paraId="17B21B27" w14:textId="465BAB8D"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lastRenderedPageBreak/>
        <w:t xml:space="preserve">Con base en lo dispuesto, el </w:t>
      </w:r>
      <w:r w:rsidR="0075271B" w:rsidRPr="00FC4A81">
        <w:rPr>
          <w:rFonts w:ascii="HP Simplified" w:hAnsi="HP Simplified"/>
          <w:sz w:val="24"/>
          <w:szCs w:val="24"/>
        </w:rPr>
        <w:t>procedimiento administrativo</w:t>
      </w:r>
      <w:r w:rsidRPr="00FC4A81">
        <w:rPr>
          <w:rFonts w:ascii="HP Simplified" w:hAnsi="HP Simplified"/>
          <w:sz w:val="24"/>
          <w:szCs w:val="24"/>
        </w:rPr>
        <w:t xml:space="preserve"> iniciado con </w:t>
      </w:r>
      <w:r w:rsidR="002B2D39" w:rsidRPr="00FC4A81">
        <w:rPr>
          <w:rFonts w:ascii="HP Simplified" w:hAnsi="HP Simplified"/>
          <w:sz w:val="24"/>
          <w:szCs w:val="24"/>
        </w:rPr>
        <w:t>anterioridad a</w:t>
      </w:r>
      <w:r w:rsidRPr="00FC4A81">
        <w:rPr>
          <w:rFonts w:ascii="HP Simplified" w:hAnsi="HP Simplified"/>
          <w:sz w:val="24"/>
          <w:szCs w:val="24"/>
        </w:rPr>
        <w:t xml:space="preserve"> la entrada en vigor del Decreto-Ley 2/2022, de 23 de junio, de Castilla y León puede seguir tramitándose conforme a la normativa anterior, pero con una limitación temporal y es que la RESOLUCIÓN FINAL DEL PROCEDIMIENTO DEBE PRODUCIRSE EN UN PLAZO MÁXIMO DE TRES MES</w:t>
      </w:r>
      <w:r w:rsidR="002B2D39">
        <w:rPr>
          <w:rFonts w:ascii="HP Simplified" w:hAnsi="HP Simplified"/>
          <w:sz w:val="24"/>
          <w:szCs w:val="24"/>
        </w:rPr>
        <w:t>ES</w:t>
      </w:r>
      <w:r w:rsidRPr="00FC4A81">
        <w:rPr>
          <w:rFonts w:ascii="HP Simplified" w:hAnsi="HP Simplified"/>
          <w:sz w:val="24"/>
          <w:szCs w:val="24"/>
        </w:rPr>
        <w:t xml:space="preserve"> DESDE LA ENTRADA EN VIGOR DEL MENCIONADO DECRETO-LEY.</w:t>
      </w:r>
    </w:p>
    <w:p w14:paraId="70E82AFD" w14:textId="6A3CD7B9"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Este es el supuesto de hecho en el que se encuentra la planta fotovoltaic</w:t>
      </w:r>
      <w:r w:rsidR="0075271B">
        <w:rPr>
          <w:rFonts w:ascii="HP Simplified" w:hAnsi="HP Simplified"/>
          <w:sz w:val="24"/>
          <w:szCs w:val="24"/>
        </w:rPr>
        <w:t>a</w:t>
      </w:r>
      <w:r w:rsidRPr="00FC4A81">
        <w:rPr>
          <w:rFonts w:ascii="HP Simplified" w:hAnsi="HP Simplified"/>
          <w:sz w:val="24"/>
          <w:szCs w:val="24"/>
        </w:rPr>
        <w:t xml:space="preserve"> proyectada por </w:t>
      </w:r>
      <w:r w:rsidR="00E81D58" w:rsidRPr="00FC4A81">
        <w:rPr>
          <w:rFonts w:ascii="HP Simplified" w:hAnsi="HP Simplified"/>
          <w:sz w:val="24"/>
          <w:szCs w:val="24"/>
        </w:rPr>
        <w:t>CAPELLA AURIGA</w:t>
      </w:r>
      <w:r w:rsidRPr="00FC4A81">
        <w:rPr>
          <w:rFonts w:ascii="HP Simplified" w:hAnsi="HP Simplified"/>
          <w:sz w:val="24"/>
          <w:szCs w:val="24"/>
        </w:rPr>
        <w:t xml:space="preserve"> SL, que inició el periodo de información pública el día 11 de marzo de 2022 con su publicación en el BOP León, y que no cumple los criterios del artículo 13 del mencionado Decreto-Ley 2/2022, de 23 de junio</w:t>
      </w:r>
      <w:r w:rsidR="008D2A58" w:rsidRPr="00FC4A81">
        <w:rPr>
          <w:rFonts w:ascii="HP Simplified" w:hAnsi="HP Simplified"/>
          <w:sz w:val="24"/>
          <w:szCs w:val="24"/>
        </w:rPr>
        <w:t>.</w:t>
      </w:r>
      <w:r w:rsidRPr="00FC4A81">
        <w:rPr>
          <w:rFonts w:ascii="HP Simplified" w:hAnsi="HP Simplified"/>
          <w:sz w:val="24"/>
          <w:szCs w:val="24"/>
        </w:rPr>
        <w:t xml:space="preserve"> Por lo tanto, el plazo máximo de resolución del procedimiento de autorización  de la planta fotovoltaica </w:t>
      </w:r>
      <w:r w:rsidR="00E81D58" w:rsidRPr="00FC4A81">
        <w:rPr>
          <w:rFonts w:ascii="HP Simplified" w:hAnsi="HP Simplified"/>
          <w:sz w:val="24"/>
          <w:szCs w:val="24"/>
        </w:rPr>
        <w:t>COMPOSTILLA IV</w:t>
      </w:r>
      <w:r w:rsidRPr="00FC4A81">
        <w:rPr>
          <w:rFonts w:ascii="HP Simplified" w:hAnsi="HP Simplified"/>
          <w:sz w:val="24"/>
          <w:szCs w:val="24"/>
        </w:rPr>
        <w:t xml:space="preserve"> conforme a la normativa anteriormente señala expiró el día 25 de septiembre de 2022, produciéndose en consecuencia la caducidad del procedimiento y la correlativa nulidad de la  ORDEN MAV/85/2023, de 19 de enero, por la que se dicta declaración de impacto ambiental del proyecto de la planta solar fotovoltaica «</w:t>
      </w:r>
      <w:r w:rsidR="00E81D58" w:rsidRPr="00FC4A81">
        <w:rPr>
          <w:rFonts w:ascii="HP Simplified" w:hAnsi="HP Simplified"/>
          <w:sz w:val="24"/>
          <w:szCs w:val="24"/>
        </w:rPr>
        <w:t>COMPOSTILLA IV</w:t>
      </w:r>
      <w:r w:rsidRPr="00FC4A81">
        <w:rPr>
          <w:rFonts w:ascii="HP Simplified" w:hAnsi="HP Simplified"/>
          <w:sz w:val="24"/>
          <w:szCs w:val="24"/>
        </w:rPr>
        <w:t>» e infraestructuras de evacuación asociadas, en el término municipal de Cubillos del Sil (León), promovido por «</w:t>
      </w:r>
      <w:r w:rsidR="00E81D58" w:rsidRPr="00FC4A81">
        <w:rPr>
          <w:rFonts w:ascii="HP Simplified" w:hAnsi="HP Simplified"/>
          <w:sz w:val="24"/>
          <w:szCs w:val="24"/>
        </w:rPr>
        <w:t>CAPELLA AURIGA</w:t>
      </w:r>
      <w:r w:rsidRPr="00FC4A81">
        <w:rPr>
          <w:rFonts w:ascii="HP Simplified" w:hAnsi="HP Simplified"/>
          <w:sz w:val="24"/>
          <w:szCs w:val="24"/>
        </w:rPr>
        <w:t xml:space="preserve">, S.L así como de la .resolución del Servicio Territorial de Industria, comercio y Economía de la Junta de castilla   y León, en León, por la que se concede la autorización administrativa previa, para una instalación de energía eléctrica con tecnología fotovoltaica y las infraestructuras de evacuación, en el término municipal de cubillos del Sil (León). Expediente </w:t>
      </w:r>
      <w:r w:rsidR="00E81D58" w:rsidRPr="00FC4A81">
        <w:rPr>
          <w:rFonts w:ascii="HP Simplified" w:hAnsi="HP Simplified"/>
          <w:sz w:val="24"/>
          <w:szCs w:val="24"/>
        </w:rPr>
        <w:t>FV-197/2019/23427</w:t>
      </w:r>
      <w:r w:rsidRPr="00FC4A81">
        <w:rPr>
          <w:rFonts w:ascii="HP Simplified" w:hAnsi="HP Simplified"/>
          <w:sz w:val="24"/>
          <w:szCs w:val="24"/>
        </w:rPr>
        <w:t>, “</w:t>
      </w:r>
      <w:r w:rsidR="00E81D58" w:rsidRPr="00FC4A81">
        <w:rPr>
          <w:rFonts w:ascii="HP Simplified" w:hAnsi="HP Simplified"/>
          <w:sz w:val="24"/>
          <w:szCs w:val="24"/>
        </w:rPr>
        <w:t>COMPOSTILLA IV</w:t>
      </w:r>
      <w:r w:rsidRPr="00FC4A81">
        <w:rPr>
          <w:rFonts w:ascii="HP Simplified" w:hAnsi="HP Simplified"/>
          <w:sz w:val="24"/>
          <w:szCs w:val="24"/>
        </w:rPr>
        <w:t>”.</w:t>
      </w:r>
    </w:p>
    <w:p w14:paraId="15C619AF"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Por lo expuesto:</w:t>
      </w:r>
    </w:p>
    <w:p w14:paraId="6BD40618"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b/>
          <w:sz w:val="24"/>
          <w:szCs w:val="24"/>
        </w:rPr>
        <w:t xml:space="preserve"> SOLICITO</w:t>
      </w:r>
      <w:r w:rsidRPr="00FC4A81">
        <w:rPr>
          <w:rFonts w:ascii="HP Simplified" w:hAnsi="HP Simplified"/>
          <w:sz w:val="24"/>
          <w:szCs w:val="24"/>
        </w:rPr>
        <w:t xml:space="preserve">  que, teniendo por presentado este escrito junto con la documentación que se acompaña, se sirva admitirlo todo ello y, en su virtud, tenga por interpuesto, en tiempo y forma RECURSO DE ALZADA  contra la resolución de fecha 24 DE ABRIL DE 2023 del Servicio Territorial de Industria, Comercio y Economía de la Junta de Castilla y León, en León por la que se acuerda otorgar AUTORIZACIÓN ADMINISTRATIVA PREVIA a la empresa </w:t>
      </w:r>
      <w:r w:rsidR="00E81D58" w:rsidRPr="00FC4A81">
        <w:rPr>
          <w:rFonts w:ascii="HP Simplified" w:hAnsi="HP Simplified"/>
          <w:sz w:val="24"/>
          <w:szCs w:val="24"/>
        </w:rPr>
        <w:t>CAPELLA AURIGA</w:t>
      </w:r>
      <w:r w:rsidRPr="00FC4A81">
        <w:rPr>
          <w:rFonts w:ascii="HP Simplified" w:hAnsi="HP Simplified"/>
          <w:sz w:val="24"/>
          <w:szCs w:val="24"/>
        </w:rPr>
        <w:t xml:space="preserve"> SL para la instalación de  planta solar con tecnología fotovoltaica  </w:t>
      </w:r>
      <w:r w:rsidR="00E81D58" w:rsidRPr="00FC4A81">
        <w:rPr>
          <w:rFonts w:ascii="HP Simplified" w:hAnsi="HP Simplified"/>
          <w:sz w:val="24"/>
          <w:szCs w:val="24"/>
        </w:rPr>
        <w:t>COMPOSTILLA IV</w:t>
      </w:r>
      <w:r w:rsidRPr="00FC4A81">
        <w:rPr>
          <w:rFonts w:ascii="HP Simplified" w:hAnsi="HP Simplified"/>
          <w:sz w:val="24"/>
          <w:szCs w:val="24"/>
        </w:rPr>
        <w:t xml:space="preserve"> en el municipio de Cubillos del Sil (León) y previos los trámites oportunos, con base en los motivos expuestos, dicte acuerdo estimatorio del recurso por el que se anule, por ser contraria al ordenamiento jurídico, la resolución impugnada y deniegue la solicitud de autorización administrativa previa y evaluación de impacto ambiental formulada por la mercantil </w:t>
      </w:r>
      <w:r w:rsidR="00E81D58" w:rsidRPr="00FC4A81">
        <w:rPr>
          <w:rFonts w:ascii="HP Simplified" w:hAnsi="HP Simplified"/>
          <w:sz w:val="24"/>
          <w:szCs w:val="24"/>
        </w:rPr>
        <w:t xml:space="preserve">CAPELLA AURIGA </w:t>
      </w:r>
      <w:r w:rsidRPr="00FC4A81">
        <w:rPr>
          <w:rFonts w:ascii="HP Simplified" w:hAnsi="HP Simplified"/>
          <w:sz w:val="24"/>
          <w:szCs w:val="24"/>
        </w:rPr>
        <w:t>SL para la instalación de dicha planta solar.</w:t>
      </w:r>
    </w:p>
    <w:p w14:paraId="3FFAB769" w14:textId="62823151"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Conforme a lo establecido en el artículo 117 de la Ley 39/2015, se solicita expresamente la suspensión de la vigencia del acto hasta que se resuelva el recurso de </w:t>
      </w:r>
      <w:r w:rsidR="0075271B" w:rsidRPr="00FC4A81">
        <w:rPr>
          <w:rFonts w:ascii="HP Simplified" w:hAnsi="HP Simplified"/>
          <w:sz w:val="24"/>
          <w:szCs w:val="24"/>
        </w:rPr>
        <w:t>alzada puesto</w:t>
      </w:r>
      <w:r w:rsidRPr="00FC4A81">
        <w:rPr>
          <w:rFonts w:ascii="HP Simplified" w:hAnsi="HP Simplified"/>
          <w:sz w:val="24"/>
          <w:szCs w:val="24"/>
        </w:rPr>
        <w:t xml:space="preserve"> que se cumplen los requisitos establecidos en dicho precepto. </w:t>
      </w:r>
    </w:p>
    <w:p w14:paraId="105B182E" w14:textId="3082A8D4" w:rsidR="001B2A16" w:rsidRPr="0075271B" w:rsidRDefault="001B2A16" w:rsidP="00FC4A81">
      <w:pPr>
        <w:spacing w:before="120" w:after="120"/>
        <w:jc w:val="both"/>
        <w:rPr>
          <w:rFonts w:ascii="HP Simplified" w:hAnsi="HP Simplified"/>
          <w:b/>
          <w:bCs/>
          <w:color w:val="FF0000"/>
          <w:sz w:val="24"/>
          <w:szCs w:val="24"/>
        </w:rPr>
      </w:pPr>
      <w:r w:rsidRPr="0075271B">
        <w:rPr>
          <w:rFonts w:ascii="HP Simplified" w:hAnsi="HP Simplified"/>
          <w:b/>
          <w:bCs/>
          <w:color w:val="FF0000"/>
          <w:sz w:val="24"/>
          <w:szCs w:val="24"/>
        </w:rPr>
        <w:tab/>
        <w:t>En __________________</w:t>
      </w:r>
      <w:r w:rsidR="0075271B" w:rsidRPr="0075271B">
        <w:rPr>
          <w:rFonts w:ascii="HP Simplified" w:hAnsi="HP Simplified"/>
          <w:b/>
          <w:bCs/>
          <w:color w:val="FF0000"/>
          <w:sz w:val="24"/>
          <w:szCs w:val="24"/>
        </w:rPr>
        <w:t>_,</w:t>
      </w:r>
      <w:r w:rsidRPr="0075271B">
        <w:rPr>
          <w:rFonts w:ascii="HP Simplified" w:hAnsi="HP Simplified"/>
          <w:b/>
          <w:bCs/>
          <w:color w:val="FF0000"/>
          <w:sz w:val="24"/>
          <w:szCs w:val="24"/>
        </w:rPr>
        <w:t xml:space="preserve"> a _________________ de 2023</w:t>
      </w:r>
    </w:p>
    <w:p w14:paraId="11BB58CE" w14:textId="77777777" w:rsidR="001B2A16" w:rsidRPr="0075271B" w:rsidRDefault="001B2A16" w:rsidP="00FC4A81">
      <w:pPr>
        <w:spacing w:before="120" w:after="120"/>
        <w:jc w:val="both"/>
        <w:rPr>
          <w:rFonts w:ascii="HP Simplified" w:hAnsi="HP Simplified"/>
          <w:b/>
          <w:bCs/>
          <w:color w:val="FF0000"/>
          <w:sz w:val="24"/>
          <w:szCs w:val="24"/>
        </w:rPr>
      </w:pPr>
    </w:p>
    <w:p w14:paraId="5B4AA43C" w14:textId="77777777" w:rsidR="001B2A16" w:rsidRPr="0075271B" w:rsidRDefault="001B2A16" w:rsidP="00FC4A81">
      <w:pPr>
        <w:spacing w:before="120" w:after="120"/>
        <w:jc w:val="both"/>
        <w:rPr>
          <w:rFonts w:ascii="HP Simplified" w:hAnsi="HP Simplified"/>
          <w:b/>
          <w:bCs/>
          <w:color w:val="FF0000"/>
          <w:sz w:val="24"/>
          <w:szCs w:val="24"/>
        </w:rPr>
      </w:pPr>
    </w:p>
    <w:p w14:paraId="598B83FD" w14:textId="77777777" w:rsidR="001B2A16" w:rsidRPr="0075271B" w:rsidRDefault="001B2A16" w:rsidP="00FC4A81">
      <w:pPr>
        <w:spacing w:before="120" w:after="120"/>
        <w:jc w:val="both"/>
        <w:rPr>
          <w:rFonts w:ascii="HP Simplified" w:hAnsi="HP Simplified"/>
          <w:b/>
          <w:bCs/>
          <w:color w:val="FF0000"/>
          <w:sz w:val="24"/>
          <w:szCs w:val="24"/>
        </w:rPr>
      </w:pPr>
    </w:p>
    <w:p w14:paraId="585353DB" w14:textId="77777777" w:rsidR="001B2A16" w:rsidRPr="0075271B" w:rsidRDefault="001B2A16" w:rsidP="00FC4A81">
      <w:pPr>
        <w:spacing w:before="120" w:after="120"/>
        <w:jc w:val="both"/>
        <w:rPr>
          <w:rFonts w:ascii="HP Simplified" w:hAnsi="HP Simplified"/>
          <w:b/>
          <w:bCs/>
          <w:color w:val="FF0000"/>
          <w:sz w:val="24"/>
          <w:szCs w:val="24"/>
        </w:rPr>
      </w:pPr>
      <w:r w:rsidRPr="0075271B">
        <w:rPr>
          <w:rFonts w:ascii="HP Simplified" w:hAnsi="HP Simplified"/>
          <w:b/>
          <w:bCs/>
          <w:color w:val="FF0000"/>
          <w:sz w:val="24"/>
          <w:szCs w:val="24"/>
        </w:rPr>
        <w:tab/>
      </w:r>
      <w:r w:rsidRPr="0075271B">
        <w:rPr>
          <w:rFonts w:ascii="HP Simplified" w:hAnsi="HP Simplified"/>
          <w:b/>
          <w:bCs/>
          <w:color w:val="FF0000"/>
          <w:sz w:val="24"/>
          <w:szCs w:val="24"/>
        </w:rPr>
        <w:tab/>
      </w:r>
      <w:r w:rsidRPr="0075271B">
        <w:rPr>
          <w:rFonts w:ascii="HP Simplified" w:hAnsi="HP Simplified"/>
          <w:b/>
          <w:bCs/>
          <w:color w:val="FF0000"/>
          <w:sz w:val="24"/>
          <w:szCs w:val="24"/>
        </w:rPr>
        <w:tab/>
        <w:t>Fdo.___________________________</w:t>
      </w:r>
    </w:p>
    <w:p w14:paraId="0FC4D553" w14:textId="77777777" w:rsidR="001B2A16" w:rsidRPr="00FC4A81" w:rsidRDefault="001B2A16" w:rsidP="00FC4A81">
      <w:pPr>
        <w:spacing w:before="120" w:after="120"/>
        <w:jc w:val="both"/>
        <w:rPr>
          <w:rFonts w:ascii="HP Simplified" w:hAnsi="HP Simplified"/>
          <w:sz w:val="24"/>
          <w:szCs w:val="24"/>
        </w:rPr>
      </w:pPr>
    </w:p>
    <w:p w14:paraId="0D387FB0" w14:textId="77777777" w:rsidR="001B2A16" w:rsidRPr="00FC4A81" w:rsidRDefault="001B2A16" w:rsidP="00FC4A81">
      <w:pPr>
        <w:spacing w:before="120" w:after="120"/>
        <w:jc w:val="both"/>
        <w:rPr>
          <w:rFonts w:ascii="HP Simplified" w:hAnsi="HP Simplified"/>
          <w:sz w:val="24"/>
          <w:szCs w:val="24"/>
        </w:rPr>
      </w:pPr>
    </w:p>
    <w:p w14:paraId="4B872EB2" w14:textId="77777777" w:rsidR="001B2A16" w:rsidRPr="00FC4A81" w:rsidRDefault="001B2A16" w:rsidP="00FC4A81">
      <w:pPr>
        <w:spacing w:before="120" w:after="120"/>
        <w:jc w:val="both"/>
        <w:rPr>
          <w:rFonts w:ascii="HP Simplified" w:hAnsi="HP Simplified"/>
          <w:sz w:val="24"/>
          <w:szCs w:val="24"/>
        </w:rPr>
      </w:pPr>
    </w:p>
    <w:p w14:paraId="1C173F81" w14:textId="77777777" w:rsidR="001B2A16" w:rsidRPr="00FC4A81" w:rsidRDefault="001B2A16" w:rsidP="00FC4A81">
      <w:pPr>
        <w:spacing w:before="120" w:after="120"/>
        <w:jc w:val="both"/>
        <w:rPr>
          <w:rFonts w:ascii="HP Simplified" w:hAnsi="HP Simplified"/>
          <w:sz w:val="24"/>
          <w:szCs w:val="24"/>
        </w:rPr>
      </w:pPr>
    </w:p>
    <w:p w14:paraId="42EBED5D" w14:textId="1F93AAFA" w:rsidR="001B2A16" w:rsidRPr="0075271B" w:rsidRDefault="001B2A16" w:rsidP="00FC4A81">
      <w:pPr>
        <w:spacing w:before="120" w:after="120"/>
        <w:jc w:val="both"/>
        <w:rPr>
          <w:rFonts w:ascii="HP Simplified" w:hAnsi="HP Simplified"/>
          <w:b/>
          <w:bCs/>
          <w:sz w:val="24"/>
          <w:szCs w:val="24"/>
        </w:rPr>
      </w:pPr>
      <w:r w:rsidRPr="0075271B">
        <w:rPr>
          <w:rFonts w:ascii="HP Simplified" w:hAnsi="HP Simplified"/>
          <w:b/>
          <w:bCs/>
          <w:sz w:val="24"/>
          <w:szCs w:val="24"/>
        </w:rPr>
        <w:t>AL SERVICIO TERRITORIAL DE INDUSTRIA, COMERCIO Y ECONOMÍA DE LA JUNTA DE CASTILLA Y LEÓN EN LEÓN</w:t>
      </w:r>
    </w:p>
    <w:p w14:paraId="1FF628C4" w14:textId="0D6FE9CA" w:rsidR="001B2A16" w:rsidRPr="0075271B" w:rsidRDefault="001B2A16" w:rsidP="0075271B">
      <w:pPr>
        <w:spacing w:before="120" w:after="120"/>
        <w:jc w:val="both"/>
        <w:rPr>
          <w:rFonts w:ascii="HP Simplified" w:hAnsi="HP Simplified"/>
          <w:b/>
          <w:bCs/>
        </w:rPr>
      </w:pPr>
      <w:r w:rsidRPr="0075271B">
        <w:rPr>
          <w:rFonts w:ascii="HP Simplified" w:hAnsi="HP Simplified"/>
          <w:b/>
          <w:bCs/>
        </w:rPr>
        <w:t xml:space="preserve"> ATT. SR. DIRECTOR GENERAL DE ENERGÍA Y MINAS</w:t>
      </w:r>
      <w:r w:rsidR="0075271B" w:rsidRPr="0075271B">
        <w:rPr>
          <w:rFonts w:ascii="HP Simplified" w:hAnsi="HP Simplified"/>
          <w:b/>
          <w:bCs/>
        </w:rPr>
        <w:t>-</w:t>
      </w:r>
      <w:r w:rsidRPr="0075271B">
        <w:rPr>
          <w:rFonts w:ascii="HP Simplified" w:hAnsi="HP Simplified"/>
          <w:b/>
          <w:bCs/>
        </w:rPr>
        <w:t>Avda. Reyes Leoneses, 11</w:t>
      </w:r>
      <w:r w:rsidR="0075271B" w:rsidRPr="0075271B">
        <w:rPr>
          <w:rFonts w:ascii="HP Simplified" w:hAnsi="HP Simplified"/>
          <w:b/>
          <w:bCs/>
        </w:rPr>
        <w:t>-</w:t>
      </w:r>
      <w:r w:rsidRPr="0075271B">
        <w:rPr>
          <w:rFonts w:ascii="HP Simplified" w:hAnsi="HP Simplified"/>
          <w:b/>
          <w:bCs/>
        </w:rPr>
        <w:t>24008 León</w:t>
      </w:r>
    </w:p>
    <w:p w14:paraId="4186A6E4"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  </w:t>
      </w:r>
    </w:p>
    <w:p w14:paraId="65BD61CD" w14:textId="77777777" w:rsidR="001B2A16" w:rsidRPr="00FC4A81" w:rsidRDefault="001B2A16" w:rsidP="00FC4A81">
      <w:pPr>
        <w:spacing w:before="120" w:after="120"/>
        <w:jc w:val="both"/>
        <w:rPr>
          <w:rFonts w:ascii="HP Simplified" w:hAnsi="HP Simplified"/>
          <w:sz w:val="24"/>
          <w:szCs w:val="24"/>
        </w:rPr>
      </w:pPr>
    </w:p>
    <w:p w14:paraId="2D5DE1AC"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 xml:space="preserve"> </w:t>
      </w:r>
    </w:p>
    <w:p w14:paraId="05A7420E" w14:textId="77777777" w:rsidR="001B2A16" w:rsidRPr="00FC4A81" w:rsidRDefault="001B2A16" w:rsidP="00FC4A81">
      <w:pPr>
        <w:spacing w:before="120" w:after="120"/>
        <w:jc w:val="both"/>
        <w:rPr>
          <w:rFonts w:ascii="HP Simplified" w:hAnsi="HP Simplified"/>
          <w:sz w:val="24"/>
          <w:szCs w:val="24"/>
        </w:rPr>
      </w:pPr>
    </w:p>
    <w:p w14:paraId="7C9DB9E5" w14:textId="77777777" w:rsidR="001B2A16" w:rsidRPr="00FC4A81" w:rsidRDefault="001B2A16" w:rsidP="00FC4A81">
      <w:pPr>
        <w:spacing w:before="120" w:after="120"/>
        <w:jc w:val="both"/>
        <w:rPr>
          <w:rFonts w:ascii="HP Simplified" w:hAnsi="HP Simplified"/>
          <w:sz w:val="24"/>
          <w:szCs w:val="24"/>
        </w:rPr>
      </w:pPr>
    </w:p>
    <w:p w14:paraId="49F189D7" w14:textId="77777777" w:rsidR="001B2A16" w:rsidRPr="00FC4A81" w:rsidRDefault="001B2A16" w:rsidP="00FC4A81">
      <w:pPr>
        <w:spacing w:before="120" w:after="120"/>
        <w:jc w:val="both"/>
        <w:rPr>
          <w:rFonts w:ascii="HP Simplified" w:hAnsi="HP Simplified"/>
          <w:sz w:val="24"/>
          <w:szCs w:val="24"/>
        </w:rPr>
      </w:pPr>
    </w:p>
    <w:p w14:paraId="5241DC7D" w14:textId="77777777" w:rsidR="001B2A16" w:rsidRPr="00FC4A81" w:rsidRDefault="001B2A16" w:rsidP="00FC4A81">
      <w:pPr>
        <w:spacing w:before="120" w:after="120"/>
        <w:jc w:val="both"/>
        <w:rPr>
          <w:rFonts w:ascii="HP Simplified" w:hAnsi="HP Simplified"/>
          <w:sz w:val="24"/>
          <w:szCs w:val="24"/>
        </w:rPr>
      </w:pPr>
    </w:p>
    <w:p w14:paraId="43B48A04" w14:textId="77777777" w:rsidR="001B2A16" w:rsidRPr="00FC4A81" w:rsidRDefault="001B2A16" w:rsidP="00FC4A81">
      <w:pPr>
        <w:spacing w:before="120" w:after="120"/>
        <w:jc w:val="both"/>
        <w:rPr>
          <w:rFonts w:ascii="HP Simplified" w:hAnsi="HP Simplified"/>
          <w:sz w:val="24"/>
          <w:szCs w:val="24"/>
        </w:rPr>
      </w:pPr>
    </w:p>
    <w:p w14:paraId="001F96CC" w14:textId="77777777" w:rsidR="001B2A16" w:rsidRPr="00FC4A81" w:rsidRDefault="001B2A16" w:rsidP="00FC4A81">
      <w:pPr>
        <w:spacing w:before="120" w:after="120"/>
        <w:jc w:val="both"/>
        <w:rPr>
          <w:rFonts w:ascii="HP Simplified" w:hAnsi="HP Simplified"/>
          <w:sz w:val="24"/>
          <w:szCs w:val="24"/>
        </w:rPr>
      </w:pPr>
    </w:p>
    <w:p w14:paraId="56E8AD55" w14:textId="77777777" w:rsidR="001B2A16" w:rsidRPr="00FC4A81" w:rsidRDefault="001B2A16" w:rsidP="00FC4A81">
      <w:pPr>
        <w:spacing w:before="120" w:after="120"/>
        <w:jc w:val="both"/>
        <w:rPr>
          <w:rFonts w:ascii="HP Simplified" w:hAnsi="HP Simplified"/>
          <w:sz w:val="24"/>
          <w:szCs w:val="24"/>
        </w:rPr>
      </w:pPr>
      <w:r w:rsidRPr="00FC4A81">
        <w:rPr>
          <w:rFonts w:ascii="HP Simplified" w:hAnsi="HP Simplified"/>
          <w:sz w:val="24"/>
          <w:szCs w:val="24"/>
        </w:rPr>
        <w:t>.</w:t>
      </w:r>
    </w:p>
    <w:p w14:paraId="374E6993" w14:textId="77777777" w:rsidR="001B2A16" w:rsidRPr="00FC4A81" w:rsidRDefault="001B2A16" w:rsidP="00FC4A81">
      <w:pPr>
        <w:spacing w:before="120" w:after="120"/>
        <w:jc w:val="both"/>
        <w:rPr>
          <w:rFonts w:ascii="HP Simplified" w:hAnsi="HP Simplified"/>
          <w:sz w:val="24"/>
          <w:szCs w:val="24"/>
        </w:rPr>
      </w:pPr>
    </w:p>
    <w:p w14:paraId="56351081" w14:textId="77777777" w:rsidR="003A5181" w:rsidRPr="00FC4A81" w:rsidRDefault="003A5181" w:rsidP="00FC4A81">
      <w:pPr>
        <w:spacing w:before="120" w:after="120"/>
        <w:jc w:val="both"/>
        <w:rPr>
          <w:rFonts w:ascii="HP Simplified" w:hAnsi="HP Simplified"/>
          <w:sz w:val="24"/>
          <w:szCs w:val="24"/>
        </w:rPr>
      </w:pPr>
    </w:p>
    <w:sectPr w:rsidR="003A5181" w:rsidRPr="00FC4A8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P Simplified">
    <w:panose1 w:val="020B0604020204020204"/>
    <w:charset w:val="00"/>
    <w:family w:val="swiss"/>
    <w:pitch w:val="variable"/>
    <w:sig w:usb0="A00000AF" w:usb1="5000205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2A16"/>
    <w:rsid w:val="00196DB3"/>
    <w:rsid w:val="001B2A16"/>
    <w:rsid w:val="002B2D39"/>
    <w:rsid w:val="00371DD4"/>
    <w:rsid w:val="003A5181"/>
    <w:rsid w:val="00435C31"/>
    <w:rsid w:val="00443C55"/>
    <w:rsid w:val="0075271B"/>
    <w:rsid w:val="007E3EC2"/>
    <w:rsid w:val="00804B38"/>
    <w:rsid w:val="008D2A58"/>
    <w:rsid w:val="00E81D58"/>
    <w:rsid w:val="00FC4A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2E494"/>
  <w15:docId w15:val="{DD25A4FA-2850-49A7-9CA8-E41F021A4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C4A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76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xxxxxxxxxx@xxxxxxxx.xxx" TargetMode="External"/><Relationship Id="rId4" Type="http://schemas.openxmlformats.org/officeDocument/2006/relationships/hyperlink" Target="mailto:xxxxxxxxxx@xxxxxxxx.xx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4536</Words>
  <Characters>24949</Characters>
  <Application>Microsoft Office Word</Application>
  <DocSecurity>0</DocSecurity>
  <Lines>207</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Tvitec</dc:creator>
  <cp:lastModifiedBy>ELENA DE LA PUENTE FRA</cp:lastModifiedBy>
  <cp:revision>5</cp:revision>
  <dcterms:created xsi:type="dcterms:W3CDTF">2023-06-25T18:02:00Z</dcterms:created>
  <dcterms:modified xsi:type="dcterms:W3CDTF">2023-06-25T20:04:00Z</dcterms:modified>
</cp:coreProperties>
</file>