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4E552" w14:textId="77777777" w:rsidR="003042C8" w:rsidRPr="001F1B81" w:rsidRDefault="003042C8" w:rsidP="003042C8">
      <w:pPr>
        <w:spacing w:before="120" w:after="120" w:line="240" w:lineRule="auto"/>
        <w:jc w:val="right"/>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Servicio Territorial de Industria, Comercio y Economía.</w:t>
      </w:r>
    </w:p>
    <w:p w14:paraId="543E700D" w14:textId="77777777" w:rsidR="003042C8" w:rsidRPr="001F1B81" w:rsidRDefault="003042C8" w:rsidP="003042C8">
      <w:pPr>
        <w:spacing w:before="120" w:after="120" w:line="240" w:lineRule="auto"/>
        <w:jc w:val="right"/>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Ilma. Delegada Territorial de León.</w:t>
      </w:r>
    </w:p>
    <w:p w14:paraId="7A5D86D3" w14:textId="77777777" w:rsidR="003042C8" w:rsidRPr="001F1B81" w:rsidRDefault="003042C8" w:rsidP="003042C8">
      <w:pPr>
        <w:spacing w:before="120" w:after="120" w:line="240" w:lineRule="auto"/>
        <w:jc w:val="right"/>
        <w:rPr>
          <w:rFonts w:ascii="HP Simplified" w:eastAsia="Times New Roman" w:hAnsi="HP Simplified" w:cstheme="minorHAnsi"/>
          <w:b/>
          <w:sz w:val="24"/>
          <w:szCs w:val="24"/>
          <w:lang w:eastAsia="es-ES"/>
        </w:rPr>
      </w:pPr>
      <w:r w:rsidRPr="001F1B81">
        <w:rPr>
          <w:rFonts w:ascii="HP Simplified" w:eastAsia="Times New Roman" w:hAnsi="HP Simplified" w:cstheme="minorHAnsi"/>
          <w:b/>
          <w:color w:val="000000" w:themeColor="text1"/>
          <w:sz w:val="24"/>
          <w:szCs w:val="24"/>
          <w:lang w:eastAsia="es-ES"/>
        </w:rPr>
        <w:t>Expte.: PE-03/2020/23494</w:t>
      </w:r>
      <w:r w:rsidRPr="001F1B81">
        <w:rPr>
          <w:rFonts w:ascii="HP Simplified" w:eastAsia="Times New Roman" w:hAnsi="HP Simplified" w:cstheme="minorHAnsi"/>
          <w:b/>
          <w:sz w:val="24"/>
          <w:szCs w:val="24"/>
          <w:lang w:eastAsia="es-ES"/>
        </w:rPr>
        <w:t>, PE Ucedo</w:t>
      </w:r>
    </w:p>
    <w:p w14:paraId="4607F8A2" w14:textId="77777777" w:rsidR="001B22AD" w:rsidRDefault="001B22AD" w:rsidP="003042C8">
      <w:pPr>
        <w:spacing w:before="120" w:after="120" w:line="240" w:lineRule="auto"/>
        <w:jc w:val="both"/>
        <w:rPr>
          <w:rFonts w:ascii="HP Simplified" w:eastAsia="Times New Roman" w:hAnsi="HP Simplified" w:cstheme="minorHAnsi"/>
          <w:sz w:val="24"/>
          <w:szCs w:val="24"/>
          <w:lang w:eastAsia="es-ES"/>
        </w:rPr>
      </w:pPr>
    </w:p>
    <w:p w14:paraId="3ADA328D" w14:textId="77777777" w:rsidR="001B22AD" w:rsidRPr="007D2E50" w:rsidRDefault="001B22AD" w:rsidP="001B22AD">
      <w:pPr>
        <w:spacing w:after="120" w:line="240" w:lineRule="auto"/>
        <w:jc w:val="both"/>
        <w:rPr>
          <w:rFonts w:ascii="Source Sans Pro" w:hAnsi="Source Sans Pro"/>
          <w:b/>
          <w:bCs/>
          <w:color w:val="FF0000"/>
        </w:rPr>
      </w:pPr>
      <w:r w:rsidRPr="007D2E50">
        <w:rPr>
          <w:rFonts w:ascii="Source Sans Pro" w:hAnsi="Source Sans Pro"/>
          <w:b/>
          <w:bCs/>
          <w:color w:val="FF0000"/>
        </w:rPr>
        <w:t>A ELEGIR UNO DE LOS SIGUIENTES ENCABEZADOS, SEGÚN CORRESPONDA (</w:t>
      </w:r>
      <w:r w:rsidRPr="000075B9">
        <w:rPr>
          <w:rFonts w:ascii="Source Sans Pro" w:hAnsi="Source Sans Pro"/>
          <w:b/>
          <w:bCs/>
          <w:color w:val="2E74B5" w:themeColor="accent5" w:themeShade="BF"/>
        </w:rPr>
        <w:t xml:space="preserve">asociación </w:t>
      </w:r>
      <w:r w:rsidRPr="007D2E50">
        <w:rPr>
          <w:rFonts w:ascii="Source Sans Pro" w:hAnsi="Source Sans Pro"/>
          <w:b/>
          <w:bCs/>
          <w:color w:val="FF0000"/>
        </w:rPr>
        <w:t>o persona física)</w:t>
      </w:r>
    </w:p>
    <w:p w14:paraId="5FD21194" w14:textId="77777777" w:rsidR="001B22AD" w:rsidRPr="007D2E50" w:rsidRDefault="001B22AD" w:rsidP="001B22AD">
      <w:pPr>
        <w:spacing w:after="120" w:line="240" w:lineRule="auto"/>
        <w:jc w:val="both"/>
        <w:rPr>
          <w:rFonts w:ascii="Source Sans Pro" w:hAnsi="Source Sans Pro"/>
          <w:b/>
          <w:bCs/>
          <w:color w:val="FF0000"/>
        </w:rPr>
      </w:pPr>
    </w:p>
    <w:p w14:paraId="18F94A1D" w14:textId="77777777" w:rsidR="001B22AD" w:rsidRPr="000075B9" w:rsidRDefault="001B22AD" w:rsidP="001B22AD">
      <w:pPr>
        <w:spacing w:after="120" w:line="240" w:lineRule="auto"/>
        <w:jc w:val="both"/>
        <w:rPr>
          <w:rFonts w:ascii="Source Sans Pro" w:hAnsi="Source Sans Pro"/>
          <w:b/>
          <w:bCs/>
          <w:color w:val="2E74B5" w:themeColor="accent5" w:themeShade="BF"/>
        </w:rPr>
      </w:pPr>
      <w:r w:rsidRPr="000075B9">
        <w:rPr>
          <w:rFonts w:ascii="Source Sans Pro" w:hAnsi="Source Sans Pro"/>
          <w:b/>
          <w:bCs/>
          <w:color w:val="2E74B5" w:themeColor="accent5" w:themeShade="BF"/>
        </w:rPr>
        <w:t xml:space="preserve">D. xxxxxxxxxxxxxxxxxxxxxxxxxxxxx, con DNI xxxxxxxxxxxxxxxx, en nombre y representación de la ASOCIACIÓN xxxxxxxxxxxxxxxxxxxxxx, con CIF xxxxxxxxxxx, y con correo electrónico a efecto de notificaciones </w:t>
      </w:r>
      <w:hyperlink r:id="rId5" w:history="1">
        <w:r w:rsidRPr="000075B9">
          <w:rPr>
            <w:rStyle w:val="Hipervnculo"/>
            <w:rFonts w:ascii="Source Sans Pro" w:hAnsi="Source Sans Pro"/>
            <w:color w:val="2E74B5" w:themeColor="accent5" w:themeShade="BF"/>
          </w:rPr>
          <w:t>xxxxxxxxxx@xxxxxxxx.xxx</w:t>
        </w:r>
      </w:hyperlink>
      <w:r w:rsidRPr="000075B9">
        <w:rPr>
          <w:rFonts w:ascii="Source Sans Pro" w:hAnsi="Source Sans Pro"/>
          <w:b/>
          <w:bCs/>
          <w:color w:val="2E74B5" w:themeColor="accent5" w:themeShade="BF"/>
        </w:rPr>
        <w:t xml:space="preserve">, </w:t>
      </w:r>
    </w:p>
    <w:p w14:paraId="2E9CEADE" w14:textId="77777777" w:rsidR="001B22AD" w:rsidRPr="007D2E50" w:rsidRDefault="001B22AD" w:rsidP="001B22AD">
      <w:pPr>
        <w:spacing w:after="120" w:line="240" w:lineRule="auto"/>
        <w:jc w:val="both"/>
        <w:rPr>
          <w:rFonts w:ascii="Source Sans Pro" w:hAnsi="Source Sans Pro"/>
          <w:b/>
          <w:bCs/>
          <w:color w:val="FF0000"/>
        </w:rPr>
      </w:pPr>
    </w:p>
    <w:p w14:paraId="54EB0031" w14:textId="77777777" w:rsidR="001B22AD" w:rsidRPr="007D2E50" w:rsidRDefault="001B22AD" w:rsidP="001B22AD">
      <w:pPr>
        <w:spacing w:after="120" w:line="240" w:lineRule="auto"/>
        <w:jc w:val="both"/>
        <w:rPr>
          <w:rFonts w:ascii="Source Sans Pro" w:hAnsi="Source Sans Pro"/>
          <w:b/>
          <w:bCs/>
          <w:color w:val="FF0000"/>
        </w:rPr>
      </w:pPr>
      <w:r w:rsidRPr="007D2E50">
        <w:rPr>
          <w:rFonts w:ascii="Source Sans Pro" w:hAnsi="Source Sans Pro"/>
          <w:b/>
          <w:bCs/>
          <w:color w:val="FF0000"/>
        </w:rPr>
        <w:t xml:space="preserve">D. xxxxxxxxxxxxxxxxxxxxxxxxxxxxx, con DNI xxxxxxxxxxxxxxxx, mayor de edad, con domicilio en xxxxxxxxxxxxxxxxxxxxxxxxxxxxxxxxxxxxxxxxxxxx y con correo electrónico a efecto de notificaciones </w:t>
      </w:r>
      <w:hyperlink r:id="rId6" w:history="1">
        <w:r w:rsidRPr="007D2E50">
          <w:rPr>
            <w:rStyle w:val="Hipervnculo"/>
            <w:rFonts w:ascii="Source Sans Pro" w:hAnsi="Source Sans Pro"/>
            <w:color w:val="FF0000"/>
          </w:rPr>
          <w:t>xxxxxxxxxx@xxxxxxxx.xxx</w:t>
        </w:r>
      </w:hyperlink>
      <w:r w:rsidRPr="007D2E50">
        <w:rPr>
          <w:rFonts w:ascii="Source Sans Pro" w:hAnsi="Source Sans Pro"/>
          <w:b/>
          <w:bCs/>
          <w:color w:val="FF0000"/>
        </w:rPr>
        <w:t xml:space="preserve">, </w:t>
      </w:r>
    </w:p>
    <w:p w14:paraId="567344D2" w14:textId="77777777" w:rsidR="001B22AD" w:rsidRDefault="001B22AD" w:rsidP="001B22AD">
      <w:pPr>
        <w:spacing w:before="120" w:after="120"/>
        <w:jc w:val="both"/>
        <w:rPr>
          <w:rFonts w:ascii="HP Simplified" w:eastAsia="Times New Roman" w:hAnsi="HP Simplified" w:cstheme="minorHAnsi"/>
          <w:sz w:val="24"/>
          <w:szCs w:val="24"/>
          <w:lang w:eastAsia="es-ES"/>
        </w:rPr>
      </w:pPr>
      <w:r>
        <w:rPr>
          <w:rFonts w:ascii="HP Simplified" w:eastAsia="Times New Roman" w:hAnsi="HP Simplified" w:cstheme="minorHAnsi"/>
          <w:sz w:val="24"/>
          <w:szCs w:val="24"/>
          <w:lang w:eastAsia="es-ES"/>
        </w:rPr>
        <w:t>comparece ante esta Unidad Administrativa y, como mejor proceda en Derecho,</w:t>
      </w:r>
    </w:p>
    <w:p w14:paraId="31505509" w14:textId="77777777" w:rsidR="003042C8" w:rsidRPr="001F1B81" w:rsidRDefault="003042C8" w:rsidP="003042C8">
      <w:pPr>
        <w:spacing w:before="120" w:after="120" w:line="240" w:lineRule="auto"/>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EXPONGO:</w:t>
      </w:r>
    </w:p>
    <w:p w14:paraId="71DAF622" w14:textId="77777777" w:rsidR="003042C8" w:rsidRPr="001F1B81" w:rsidRDefault="003042C8" w:rsidP="003042C8">
      <w:pPr>
        <w:spacing w:before="120" w:after="120" w:line="240" w:lineRule="auto"/>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sz w:val="24"/>
          <w:szCs w:val="24"/>
          <w:lang w:eastAsia="es-ES"/>
        </w:rPr>
        <w:t xml:space="preserve">Que por el presente escrito vengo a interponer, dentro del plazo legalmente establecido, </w:t>
      </w:r>
      <w:r w:rsidRPr="001F1B81">
        <w:rPr>
          <w:rFonts w:ascii="HP Simplified" w:eastAsia="Times New Roman" w:hAnsi="HP Simplified" w:cstheme="minorHAnsi"/>
          <w:b/>
          <w:sz w:val="24"/>
          <w:szCs w:val="24"/>
          <w:lang w:eastAsia="es-ES"/>
        </w:rPr>
        <w:t xml:space="preserve">RECURSO DE ALZADA </w:t>
      </w:r>
      <w:r w:rsidRPr="001F1B81">
        <w:rPr>
          <w:rFonts w:ascii="HP Simplified" w:eastAsia="Times New Roman" w:hAnsi="HP Simplified" w:cstheme="minorHAnsi"/>
          <w:b/>
          <w:color w:val="000000" w:themeColor="text1"/>
          <w:sz w:val="24"/>
          <w:szCs w:val="24"/>
          <w:lang w:eastAsia="es-ES"/>
        </w:rPr>
        <w:t xml:space="preserve">contra la RESOLUCIÓN de 18 de abril de 2023, </w:t>
      </w:r>
      <w:r w:rsidRPr="001F1B81">
        <w:rPr>
          <w:rFonts w:ascii="HP Simplified" w:eastAsia="Times New Roman" w:hAnsi="HP Simplified" w:cstheme="minorHAnsi"/>
          <w:color w:val="000000" w:themeColor="text1"/>
          <w:sz w:val="24"/>
          <w:szCs w:val="24"/>
          <w:lang w:eastAsia="es-ES"/>
        </w:rPr>
        <w:t>del Servicio Territorial de Industria, Comercio y Economía de León, por la que se concede la autorización administrativa previa y autorización administrativa de construcción a «Parque Eólico Ucedo, S.L.», para la instalación del parque de generación de energía con tecnología eólica denominada «Ucedo», en los términos municipales de Brazuelo y Villagatón (León),</w:t>
      </w:r>
      <w:r w:rsidRPr="001F1B81">
        <w:rPr>
          <w:rFonts w:ascii="HP Simplified" w:eastAsia="Times New Roman" w:hAnsi="HP Simplified" w:cstheme="minorHAnsi"/>
          <w:b/>
          <w:color w:val="000000" w:themeColor="text1"/>
          <w:sz w:val="24"/>
          <w:szCs w:val="24"/>
          <w:lang w:eastAsia="es-ES"/>
        </w:rPr>
        <w:t xml:space="preserve"> p</w:t>
      </w:r>
      <w:r w:rsidRPr="001F1B81">
        <w:rPr>
          <w:rFonts w:ascii="HP Simplified" w:eastAsia="Times New Roman" w:hAnsi="HP Simplified" w:cstheme="minorHAnsi"/>
          <w:b/>
          <w:sz w:val="24"/>
          <w:szCs w:val="24"/>
          <w:lang w:eastAsia="es-ES"/>
        </w:rPr>
        <w:t>ublicada en el Boletín Oficial de Castilla y León, el 23 de mayo de 2023</w:t>
      </w:r>
      <w:r w:rsidRPr="001F1B81">
        <w:rPr>
          <w:rFonts w:ascii="HP Simplified" w:eastAsia="Times New Roman" w:hAnsi="HP Simplified" w:cstheme="minorHAnsi"/>
          <w:sz w:val="24"/>
          <w:szCs w:val="24"/>
          <w:lang w:eastAsia="es-ES"/>
        </w:rPr>
        <w:t xml:space="preserve">, </w:t>
      </w:r>
      <w:r w:rsidRPr="001F1B81">
        <w:rPr>
          <w:rFonts w:ascii="HP Simplified" w:eastAsia="Times New Roman" w:hAnsi="HP Simplified" w:cstheme="minorHAnsi"/>
          <w:b/>
          <w:sz w:val="24"/>
          <w:szCs w:val="24"/>
          <w:lang w:eastAsia="es-ES"/>
        </w:rPr>
        <w:t xml:space="preserve">y contra la DECLARACIÓN DE IMPACTO AMBIENTAL </w:t>
      </w:r>
      <w:r w:rsidRPr="001F1B81">
        <w:rPr>
          <w:rFonts w:ascii="HP Simplified" w:eastAsia="Times New Roman" w:hAnsi="HP Simplified" w:cstheme="minorHAnsi"/>
          <w:sz w:val="24"/>
          <w:szCs w:val="24"/>
          <w:lang w:eastAsia="es-ES"/>
        </w:rPr>
        <w:t xml:space="preserve">del proyecto </w:t>
      </w:r>
      <w:r w:rsidRPr="001F1B81">
        <w:rPr>
          <w:rFonts w:ascii="HP Simplified" w:eastAsia="Times New Roman" w:hAnsi="HP Simplified" w:cstheme="minorHAnsi"/>
          <w:i/>
          <w:iCs/>
          <w:sz w:val="24"/>
          <w:szCs w:val="24"/>
          <w:lang w:eastAsia="es-ES"/>
        </w:rPr>
        <w:t>“</w:t>
      </w:r>
      <w:r w:rsidRPr="001F1B81">
        <w:rPr>
          <w:rFonts w:ascii="HP Simplified" w:eastAsia="Times New Roman" w:hAnsi="HP Simplified" w:cstheme="minorHAnsi"/>
          <w:sz w:val="24"/>
          <w:szCs w:val="24"/>
          <w:lang w:eastAsia="es-ES"/>
        </w:rPr>
        <w:t>Ucedo</w:t>
      </w:r>
      <w:r w:rsidRPr="001F1B81">
        <w:rPr>
          <w:rFonts w:ascii="HP Simplified" w:eastAsia="Times New Roman" w:hAnsi="HP Simplified" w:cstheme="minorHAnsi"/>
          <w:i/>
          <w:iCs/>
          <w:sz w:val="24"/>
          <w:szCs w:val="24"/>
          <w:lang w:eastAsia="es-ES"/>
        </w:rPr>
        <w:t xml:space="preserve">”, </w:t>
      </w:r>
      <w:r w:rsidRPr="001F1B81">
        <w:rPr>
          <w:rFonts w:ascii="HP Simplified" w:eastAsia="Times New Roman" w:hAnsi="HP Simplified" w:cstheme="minorHAnsi"/>
          <w:iCs/>
          <w:sz w:val="24"/>
          <w:szCs w:val="24"/>
          <w:lang w:eastAsia="es-ES"/>
        </w:rPr>
        <w:t>expediente</w:t>
      </w:r>
      <w:r w:rsidRPr="001F1B81">
        <w:rPr>
          <w:rFonts w:ascii="HP Simplified" w:eastAsia="Times New Roman" w:hAnsi="HP Simplified" w:cstheme="minorHAnsi"/>
          <w:i/>
          <w:iCs/>
          <w:sz w:val="24"/>
          <w:szCs w:val="24"/>
          <w:lang w:eastAsia="es-ES"/>
        </w:rPr>
        <w:t xml:space="preserve"> </w:t>
      </w:r>
      <w:r w:rsidRPr="001F1B81">
        <w:rPr>
          <w:rFonts w:ascii="HP Simplified" w:eastAsia="Times New Roman" w:hAnsi="HP Simplified" w:cstheme="minorHAnsi"/>
          <w:sz w:val="24"/>
          <w:szCs w:val="24"/>
          <w:lang w:eastAsia="es-ES"/>
        </w:rPr>
        <w:t xml:space="preserve">PE-03/2020/23494, </w:t>
      </w:r>
      <w:r w:rsidRPr="001F1B81">
        <w:rPr>
          <w:rFonts w:ascii="HP Simplified" w:eastAsia="Times New Roman" w:hAnsi="HP Simplified" w:cstheme="minorHAnsi"/>
          <w:b/>
          <w:sz w:val="24"/>
          <w:szCs w:val="24"/>
          <w:lang w:eastAsia="es-ES"/>
        </w:rPr>
        <w:t>publicada en el BOCYL de 20 de enero de 2023</w:t>
      </w:r>
      <w:r w:rsidRPr="001F1B81">
        <w:rPr>
          <w:rFonts w:ascii="HP Simplified" w:eastAsia="Times New Roman" w:hAnsi="HP Simplified" w:cstheme="minorHAnsi"/>
          <w:b/>
          <w:color w:val="FF0000"/>
          <w:sz w:val="24"/>
          <w:szCs w:val="24"/>
          <w:lang w:eastAsia="es-ES"/>
        </w:rPr>
        <w:t xml:space="preserve"> </w:t>
      </w:r>
      <w:r w:rsidRPr="001F1B81">
        <w:rPr>
          <w:rFonts w:ascii="HP Simplified" w:eastAsia="Times New Roman" w:hAnsi="HP Simplified" w:cstheme="minorHAnsi"/>
          <w:sz w:val="24"/>
          <w:szCs w:val="24"/>
          <w:lang w:eastAsia="es-ES"/>
        </w:rPr>
        <w:t xml:space="preserve">por NO encontrarla ajustada a Derecho, sobre la base de las siguientes </w:t>
      </w:r>
      <w:r w:rsidRPr="001F1B81">
        <w:rPr>
          <w:rFonts w:ascii="HP Simplified" w:eastAsia="Times New Roman" w:hAnsi="HP Simplified" w:cstheme="minorHAnsi"/>
          <w:b/>
          <w:sz w:val="24"/>
          <w:szCs w:val="24"/>
          <w:lang w:eastAsia="es-ES"/>
        </w:rPr>
        <w:t>ALEGACIONES</w:t>
      </w:r>
      <w:r w:rsidRPr="001F1B81">
        <w:rPr>
          <w:rFonts w:ascii="HP Simplified" w:eastAsia="Times New Roman" w:hAnsi="HP Simplified" w:cstheme="minorHAnsi"/>
          <w:sz w:val="24"/>
          <w:szCs w:val="24"/>
          <w:lang w:eastAsia="es-ES"/>
        </w:rPr>
        <w:t xml:space="preserve">: </w:t>
      </w:r>
    </w:p>
    <w:p w14:paraId="378E8EBE" w14:textId="18778CB0" w:rsidR="003042C8" w:rsidRPr="001B22AD" w:rsidRDefault="003042C8" w:rsidP="003042C8">
      <w:pPr>
        <w:spacing w:before="120" w:after="120" w:line="240" w:lineRule="auto"/>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ANTECEDENTES DE HECHO</w:t>
      </w:r>
    </w:p>
    <w:p w14:paraId="7306EEDB"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1.– En fecha 25 de mayo 2020, D. Pedro García Merayo, en representación de Parque Eólico Ucedo S.L., entrega proyecto para el trámite de competencia y Autorización Administrativa Previa para el parque eólico «Ucedo».</w:t>
      </w:r>
    </w:p>
    <w:p w14:paraId="6C062D9C"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xml:space="preserve">2.– Con fecha </w:t>
      </w:r>
      <w:r w:rsidRPr="001F1B81">
        <w:rPr>
          <w:rFonts w:ascii="HP Simplified" w:eastAsia="Times New Roman" w:hAnsi="HP Simplified" w:cstheme="minorHAnsi"/>
          <w:sz w:val="24"/>
          <w:szCs w:val="24"/>
          <w:u w:val="single"/>
          <w:lang w:eastAsia="es-ES"/>
        </w:rPr>
        <w:t>27 de julio de 2020 en el B.O.P. y 30 de julio de 2020</w:t>
      </w:r>
      <w:r w:rsidRPr="001F1B81">
        <w:rPr>
          <w:rFonts w:ascii="HP Simplified" w:eastAsia="Times New Roman" w:hAnsi="HP Simplified" w:cstheme="minorHAnsi"/>
          <w:sz w:val="24"/>
          <w:szCs w:val="24"/>
          <w:lang w:eastAsia="es-ES"/>
        </w:rPr>
        <w:t xml:space="preserve"> en el B.O.C. y L., se somete a información pública la solicitud del parque eólico, a los efectos previstos en el artículo 7 del Decreto 189/1997, de 26 de septiembre, por el que se regula el procedimiento para la autorización de las instalaciones de producción de electricidad a partir de energía eólica.</w:t>
      </w:r>
    </w:p>
    <w:p w14:paraId="4410A2CC"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3.– De la información pública anterior se recibe documentación de 16 proyectos de parques eólicos del promotor Saavedra Wind, S.L., a los efectos del artículo 7 del Decreto 189/1997, de 26 de septiembre.</w:t>
      </w:r>
    </w:p>
    <w:p w14:paraId="4D423FF4"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4.– Una vez finalizado el plazo de presentación de informes en competencia, se solicita informes a al Ente Público Regional de la Energía de Castilla y León y a los Ayuntamientos afectados.</w:t>
      </w:r>
    </w:p>
    <w:p w14:paraId="019C574D"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lastRenderedPageBreak/>
        <w:t>5.– Con fecha de 18 de febrero de 2021, se remite a la Dirección General de Energía y Minas, los expedientes en competencia, según lo dispuesto en el artículo 7 del Decreto 189/1997, de 26 de septiembre.</w:t>
      </w:r>
    </w:p>
    <w:p w14:paraId="65CDC869"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xml:space="preserve">6.– Con fecha 7 de junio de 2021, se recibe la Resolución de la Dirección General de Energía y Minas, de la competencia de proyectos de parques eólicos n.º 163, </w:t>
      </w:r>
      <w:r w:rsidRPr="001F1B81">
        <w:rPr>
          <w:rFonts w:ascii="HP Simplified" w:eastAsia="Times New Roman" w:hAnsi="HP Simplified" w:cstheme="minorHAnsi"/>
          <w:sz w:val="24"/>
          <w:szCs w:val="24"/>
          <w:u w:val="single"/>
          <w:lang w:eastAsia="es-ES"/>
        </w:rPr>
        <w:t>entre las empresas «Parque Eólico Ucedo, S.L» y «Parque Eólico Porqueros, S.L.» (P.E. «Ucedo» y P.E. «Porqueros»),</w:t>
      </w:r>
      <w:r w:rsidRPr="001F1B81">
        <w:rPr>
          <w:rFonts w:ascii="HP Simplified" w:eastAsia="Times New Roman" w:hAnsi="HP Simplified" w:cstheme="minorHAnsi"/>
          <w:sz w:val="24"/>
          <w:szCs w:val="24"/>
          <w:lang w:eastAsia="es-ES"/>
        </w:rPr>
        <w:t xml:space="preserve"> y «Saavedra Wind, S.L.» (P.E. «Magaz 1», P.E. «Magaz 2», P.E. «Magaz 3», P.E. «Magaz 4», P.E. «Magaz 5», P.E. «Magaz 6», P.E. «Magaz 7», P.E. «Magaz 8», P.E. «Magaz 9», P.E. «Magaz 10», P.E. «Magaz 11», P.E. «Villaobispo 1», P.E. «Villaobispo 2», P.E. «Villaobispo 3», P.E. «Villaobispo 4» y P.E. «Villaobispo 5»), en los términos municipales de Magaz de Cepeda, Brazuelo y Villagaton (León).</w:t>
      </w:r>
    </w:p>
    <w:p w14:paraId="228E6121"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7.– Con fecha 15 de julio de 2021, se presenta por parte del promotor, la Solicitud de Autorización Administrativa Previa y Evaluación de Impacto Ambiental del parque eólico.</w:t>
      </w:r>
    </w:p>
    <w:p w14:paraId="4B30ED07"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xml:space="preserve">8.– Con fecha de </w:t>
      </w:r>
      <w:r w:rsidRPr="001F1B81">
        <w:rPr>
          <w:rFonts w:ascii="HP Simplified" w:eastAsia="Times New Roman" w:hAnsi="HP Simplified" w:cstheme="minorHAnsi"/>
          <w:sz w:val="24"/>
          <w:szCs w:val="24"/>
          <w:u w:val="single"/>
          <w:lang w:eastAsia="es-ES"/>
        </w:rPr>
        <w:t>10 de agosto de 2021</w:t>
      </w:r>
      <w:r w:rsidRPr="001F1B81">
        <w:rPr>
          <w:rFonts w:ascii="HP Simplified" w:eastAsia="Times New Roman" w:hAnsi="HP Simplified" w:cstheme="minorHAnsi"/>
          <w:sz w:val="24"/>
          <w:szCs w:val="24"/>
          <w:lang w:eastAsia="es-ES"/>
        </w:rPr>
        <w:t xml:space="preserve"> en el B.O.P. y 12 de agosto de 2021 en el B.O.C. y L., se somete a información pública la Solicitud de la Autorización Administrativa Previa, Autorización Administrativa de Construcción y Evaluación de Impacto Ambiental del Proyecto del parque eólico.</w:t>
      </w:r>
    </w:p>
    <w:p w14:paraId="2F020EAB"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9.– Con fecha 25 de agosto de 2021 se realizan las Consultas Medioambientales a los efectos previstos en el Art. 37 de la Ley 21/2013, de 9 de diciembre, de Evaluación de Impacto Ambiental.</w:t>
      </w:r>
    </w:p>
    <w:p w14:paraId="7CF989E3"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10.– Del trámite de información pública anterior, se reciben las siguientes alegaciones al Proyecto, presentadas por:</w:t>
      </w:r>
    </w:p>
    <w:p w14:paraId="0C2BCC85"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Carlos González-Antón Álvarez, Abogado del I.C.A. León (Colegiado 911) actuando en nombre y representación de la Junta Vecinal de Valbuena de la Encomienda, por aspectos relacionados con la evaluación de impacto ambiental.</w:t>
      </w:r>
    </w:p>
    <w:p w14:paraId="0751B1F5"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La Asociación Española para la Conservación y el Estudio de los Murciélagos (SECEMU), por aspectos relacionados con la evaluación de impacto ambiental.</w:t>
      </w:r>
    </w:p>
    <w:p w14:paraId="6424BAD9"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Miguel Ángel Domínguez Pérez, en nombre y representación de la Asociación Rural Cepeda Órbigo, por aspectos relacionados con la evaluación de impacto ambiental.</w:t>
      </w:r>
    </w:p>
    <w:p w14:paraId="70211588"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Emilio de la Calzada Lorenzo, en nombre y representación de la asociación Plataforma para la Defensa de la Cordillera Cantábrica, por aspectos relacionados con la evaluación de impacto ambiental.</w:t>
      </w:r>
    </w:p>
    <w:p w14:paraId="40440887"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Pr>
          <w:rFonts w:ascii="HP Simplified" w:eastAsia="Times New Roman" w:hAnsi="HP Simplified" w:cstheme="minorHAnsi"/>
          <w:sz w:val="24"/>
          <w:szCs w:val="24"/>
          <w:lang w:eastAsia="es-ES"/>
        </w:rPr>
        <w:t>Y</w:t>
      </w:r>
      <w:r w:rsidRPr="001F1B81">
        <w:rPr>
          <w:rFonts w:ascii="HP Simplified" w:eastAsia="Times New Roman" w:hAnsi="HP Simplified" w:cstheme="minorHAnsi"/>
          <w:sz w:val="24"/>
          <w:szCs w:val="24"/>
          <w:lang w:eastAsia="es-ES"/>
        </w:rPr>
        <w:t xml:space="preserve"> los siguientes informes:</w:t>
      </w:r>
    </w:p>
    <w:p w14:paraId="0D080248"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Informe del Ayuntamiento de Brazuelo en el que se expone: «en principio este Ayuntamiento está conforme con el que aparece en la documentación técnica remitida en lo que pueda afectar a instalaciones u obras, bienes y servicios dependientes de este Organismo debiendo en todo caso cumplimentarse todas las condiciones urbanísticas que contemplan las Normas Subsidiarias de Planeamiento Municipal.»</w:t>
      </w:r>
    </w:p>
    <w:p w14:paraId="074C3277"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Informe del Ayuntamiento de Villagatón, que manifiesta: «…tengo a bien comunicarle que en principio este Ayuntamiento está conforme con el que aparece en la documentación técnica remitida en lo que pueda afectar a instalaciones u obras, bienes y servicios dependientes de este Organismo debiendo en todo caso cumplimentarse todas las condiciones urbanísticas…»</w:t>
      </w:r>
    </w:p>
    <w:p w14:paraId="1138BC73"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lastRenderedPageBreak/>
        <w:t>• Informe del Servicio Territorial de Agricultura, Ganadería y Desarrollo Rural, indica que es una zona montañosa de uso forestal y no sometida a concentración parcelaria.</w:t>
      </w:r>
    </w:p>
    <w:p w14:paraId="48A24A9D"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Informe del Servicio Territorial de Cultura, que deberá presentar la memoria final del estudio de impacto en el patrimonio cultural derivada de la autorización de intervención arqueológica concedida por acuerdo de la Comisión Territorial de Patrimonio Cultural de León en sesión de 25 de mayo de 2021.</w:t>
      </w:r>
    </w:p>
    <w:p w14:paraId="151543C7"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Informe de la Confederación Hidrográfica del Miño-Sil, O. A.: las obras se sitúan, fuera del ámbito competencial de esta Confederación Hidrográfica, por lo que no procede emitir informe y/o condicionado alguno con respecto del Estudio de Impacto Ambiental del Proyecto «Parque Eólico Ucedo», TT.MM. de Brazuelo y Villagatón, (León).</w:t>
      </w:r>
    </w:p>
    <w:p w14:paraId="6BD5DB7E"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Informe de la Confederación Hidrográfica del Duero, en la que se ponen unas condiciones, respecto a la ejecución del proyecto, generales.</w:t>
      </w:r>
    </w:p>
    <w:p w14:paraId="06526571"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11.– Todas las alegaciones fueron contestadas por el promotor y los informes han sido aceptados, todos los que tienen relación con efectos medioambientales se han tenido en cuenta en la Elaboración de la Evaluación de Impacto Ambiental.</w:t>
      </w:r>
    </w:p>
    <w:p w14:paraId="220A4C7C" w14:textId="77777777" w:rsidR="003042C8" w:rsidRPr="001F1B81" w:rsidRDefault="003042C8" w:rsidP="003042C8">
      <w:pPr>
        <w:tabs>
          <w:tab w:val="left" w:pos="9067"/>
        </w:tabs>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xml:space="preserve">12.– Con fecha de </w:t>
      </w:r>
      <w:r w:rsidRPr="001F1B81">
        <w:rPr>
          <w:rFonts w:ascii="HP Simplified" w:eastAsia="Times New Roman" w:hAnsi="HP Simplified" w:cstheme="minorHAnsi"/>
          <w:sz w:val="24"/>
          <w:szCs w:val="24"/>
          <w:u w:val="single"/>
          <w:lang w:eastAsia="es-ES"/>
        </w:rPr>
        <w:t>9 de diciembre de 2021</w:t>
      </w:r>
      <w:r w:rsidRPr="001F1B81">
        <w:rPr>
          <w:rFonts w:ascii="HP Simplified" w:eastAsia="Times New Roman" w:hAnsi="HP Simplified" w:cstheme="minorHAnsi"/>
          <w:sz w:val="24"/>
          <w:szCs w:val="24"/>
          <w:lang w:eastAsia="es-ES"/>
        </w:rPr>
        <w:t xml:space="preserve"> se remite al Servicio Territorial de Medio Ambiente, la documentación para la realización de la Evaluación de Impacto Ambiental Ordinaria, según lo previsto en el Art.39 de la Ley 21/2013, de 9 de diciembre, de Evaluación Ambiental, Estudio de impacto Ambiental, Proyecto y el Expediente Administrativo.</w:t>
      </w:r>
    </w:p>
    <w:p w14:paraId="0024FFE0"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13.– Con fecha 20 de enero de 2023, se publica la Orden MAV/26/2023, de 13 de enero, por la que se dicta la declaración de impacto ambiental del proyecto de parque eólico «Ucedo» y su infraestructura de evacuación asociada, en los términos municipales de Brazuelo y Villagatón (León).</w:t>
      </w:r>
    </w:p>
    <w:p w14:paraId="2678EB26"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14.– Con fecha 5 de febrero de 2023, se envía oficio al promotor para que acepte el condicionado de la DIA, que lo acepta.</w:t>
      </w:r>
    </w:p>
    <w:p w14:paraId="07E1E22F"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 xml:space="preserve">15.– </w:t>
      </w:r>
      <w:r w:rsidRPr="001F1B81">
        <w:rPr>
          <w:rFonts w:ascii="HP Simplified" w:eastAsia="Times New Roman" w:hAnsi="HP Simplified" w:cstheme="minorHAnsi"/>
          <w:sz w:val="24"/>
          <w:szCs w:val="24"/>
          <w:u w:val="single"/>
          <w:lang w:eastAsia="es-ES"/>
        </w:rPr>
        <w:t>Se recibe Adenda al proyecto</w:t>
      </w:r>
      <w:r w:rsidRPr="001F1B81">
        <w:rPr>
          <w:rFonts w:ascii="HP Simplified" w:eastAsia="Times New Roman" w:hAnsi="HP Simplified" w:cstheme="minorHAnsi"/>
          <w:sz w:val="24"/>
          <w:szCs w:val="24"/>
          <w:lang w:eastAsia="es-ES"/>
        </w:rPr>
        <w:t xml:space="preserve"> para el cumplimiento de los condicionados de la Declaración de Impacto Ambiental presentada por el promotor, con fecha de 28 de febrero de 2023 se remite al S.T de Medio Ambiente, se remite al S.T de Medio Ambiente para su conocimiento y efectos oportunos.</w:t>
      </w:r>
    </w:p>
    <w:p w14:paraId="20DB8784" w14:textId="3D5CF21C"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sz w:val="24"/>
          <w:szCs w:val="24"/>
          <w:lang w:eastAsia="es-ES"/>
        </w:rPr>
        <w:t>16.– Con fecha 4 de abril de 2023, el ST de Medio Ambiente informa favorablemente la adenda presentada por el promotor, respecto a las modificaciones planteadas, para cumplir con las exigencias de la Declaración de Impacto Ambiental.</w:t>
      </w:r>
    </w:p>
    <w:p w14:paraId="20EAA381" w14:textId="77777777" w:rsidR="003042C8" w:rsidRPr="001F1B81" w:rsidRDefault="003042C8" w:rsidP="003042C8">
      <w:pPr>
        <w:spacing w:before="120" w:after="120" w:line="240" w:lineRule="auto"/>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FUNDAMENTOS DE DERECHO</w:t>
      </w:r>
    </w:p>
    <w:p w14:paraId="648F4974" w14:textId="77777777" w:rsidR="003042C8" w:rsidRPr="001F1B81" w:rsidRDefault="003042C8" w:rsidP="003042C8">
      <w:pPr>
        <w:spacing w:before="120" w:after="120" w:line="240" w:lineRule="auto"/>
        <w:jc w:val="both"/>
        <w:rPr>
          <w:rFonts w:ascii="HP Simplified" w:eastAsia="Times New Roman" w:hAnsi="HP Simplified" w:cstheme="minorHAnsi"/>
          <w:sz w:val="24"/>
          <w:szCs w:val="24"/>
          <w:lang w:eastAsia="es-ES"/>
        </w:rPr>
      </w:pPr>
      <w:r w:rsidRPr="001F1B81">
        <w:rPr>
          <w:rFonts w:ascii="HP Simplified" w:eastAsia="Times New Roman" w:hAnsi="HP Simplified" w:cstheme="minorHAnsi"/>
          <w:b/>
          <w:sz w:val="24"/>
          <w:szCs w:val="24"/>
          <w:lang w:eastAsia="es-ES"/>
        </w:rPr>
        <w:t>Primero.–</w:t>
      </w:r>
      <w:r w:rsidRPr="001F1B81">
        <w:rPr>
          <w:rFonts w:ascii="HP Simplified" w:eastAsia="Times New Roman" w:hAnsi="HP Simplified" w:cstheme="minorHAnsi"/>
          <w:sz w:val="24"/>
          <w:szCs w:val="24"/>
          <w:lang w:eastAsia="es-ES"/>
        </w:rPr>
        <w:t xml:space="preserve"> El presente escrito de interposición cumple las formalidades exigidas por el artículo 115.1 de la Ley 39/2015, de 1 de octubre, del Procedimiento Administrativo Común de las Administraciones Públicas. </w:t>
      </w:r>
    </w:p>
    <w:p w14:paraId="6801CCD1" w14:textId="77777777" w:rsidR="003042C8" w:rsidRPr="001F1B81" w:rsidRDefault="003042C8" w:rsidP="003042C8">
      <w:pPr>
        <w:spacing w:before="120" w:after="120" w:line="240" w:lineRule="auto"/>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Segundo.-</w:t>
      </w:r>
      <w:r w:rsidRPr="001F1B81">
        <w:rPr>
          <w:rFonts w:ascii="HP Simplified" w:eastAsia="Times New Roman" w:hAnsi="HP Simplified" w:cstheme="minorHAnsi"/>
          <w:sz w:val="24"/>
          <w:szCs w:val="24"/>
          <w:lang w:eastAsia="es-ES"/>
        </w:rPr>
        <w:t xml:space="preserve">El proyecto autorizado es un caso flagrante de </w:t>
      </w:r>
      <w:r w:rsidRPr="001F1B81">
        <w:rPr>
          <w:rFonts w:ascii="HP Simplified" w:eastAsia="Times New Roman" w:hAnsi="HP Simplified" w:cstheme="minorHAnsi"/>
          <w:b/>
          <w:i/>
          <w:sz w:val="24"/>
          <w:szCs w:val="24"/>
          <w:lang w:eastAsia="es-ES"/>
        </w:rPr>
        <w:t>FRAGMENTACIÓN</w:t>
      </w:r>
      <w:r w:rsidRPr="001F1B81">
        <w:rPr>
          <w:rFonts w:ascii="HP Simplified" w:eastAsia="Times New Roman" w:hAnsi="HP Simplified" w:cstheme="minorHAnsi"/>
          <w:b/>
          <w:sz w:val="24"/>
          <w:szCs w:val="24"/>
          <w:lang w:eastAsia="es-ES"/>
        </w:rPr>
        <w:t xml:space="preserve"> que conlleva que no se haya resuelto de manera definitiva si no condicionada a la autorización de otras partes.</w:t>
      </w:r>
    </w:p>
    <w:p w14:paraId="281B5A6C"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Nos encontramos ante la división artificial de un único complejo eólico entendiendo el T.S. (s. 20-4-2006, RC 5814/2003) que </w:t>
      </w:r>
      <w:r w:rsidRPr="001F1B81">
        <w:rPr>
          <w:rFonts w:ascii="HP Simplified" w:hAnsi="HP Simplified" w:cstheme="minorHAnsi"/>
          <w:i/>
          <w:sz w:val="24"/>
          <w:szCs w:val="24"/>
        </w:rPr>
        <w:t xml:space="preserve">la figura del Parque Eólico debe ser necesariamente contemplada desde una perspectiva unitaria, pues en otro caso quedaría desvirtuada la naturaleza y la función de este tipo de instalaciones, por lo que </w:t>
      </w:r>
      <w:r w:rsidRPr="001F1B81">
        <w:rPr>
          <w:rFonts w:ascii="HP Simplified" w:hAnsi="HP Simplified" w:cstheme="minorHAnsi"/>
          <w:i/>
          <w:sz w:val="24"/>
          <w:szCs w:val="24"/>
        </w:rPr>
        <w:lastRenderedPageBreak/>
        <w:t>les es consustancial que los generadores en ellos agrupados hayan necesariamente de compartir, además de las líneas propias de unión entre sí, unos mismos accesos, un mismo sistema de control y unas infraestructuras comunes (normalmente, el edificio necesario para su gestión y la subestación transformadora) y que la energía resultante ha de inyectarse mediante una sola línea de conexión del parque, sin que sea posible descomponer, a efectos jurídicos, un parque proyectado para diseccionar de él varios aerogeneradores a los que se daría un tratamiento autónomo</w:t>
      </w:r>
      <w:r w:rsidRPr="001F1B81">
        <w:rPr>
          <w:rFonts w:ascii="HP Simplified" w:hAnsi="HP Simplified" w:cstheme="minorHAnsi"/>
          <w:sz w:val="24"/>
          <w:szCs w:val="24"/>
        </w:rPr>
        <w:t xml:space="preserve">. </w:t>
      </w:r>
    </w:p>
    <w:p w14:paraId="3C68BBAC" w14:textId="77777777" w:rsidR="003042C8" w:rsidRPr="006145F4" w:rsidRDefault="003042C8" w:rsidP="003042C8">
      <w:pPr>
        <w:spacing w:before="120" w:after="120"/>
        <w:ind w:firstLine="708"/>
        <w:jc w:val="both"/>
        <w:rPr>
          <w:rFonts w:ascii="HP Simplified" w:hAnsi="HP Simplified" w:cstheme="minorHAnsi"/>
          <w:color w:val="404040" w:themeColor="text1" w:themeTint="BF"/>
          <w:sz w:val="24"/>
          <w:szCs w:val="24"/>
        </w:rPr>
      </w:pPr>
      <w:r w:rsidRPr="006145F4">
        <w:rPr>
          <w:rFonts w:ascii="HP Simplified" w:hAnsi="HP Simplified" w:cstheme="minorHAnsi"/>
          <w:color w:val="404040" w:themeColor="text1" w:themeTint="BF"/>
          <w:sz w:val="24"/>
          <w:szCs w:val="24"/>
        </w:rPr>
        <w:t>El proyecto plantea levantar, en conjunto con otros tres parques, denominados Santa Cruz, Veldedo y Porqueros, promovidos por el mismo promotor (Grupo Lamelas Viloria), un total de 31 aerogeneradores de 3,8 MW de potencia nominal unitaria y 180 m de altura a punta de pala en una zona muy poco poblada, con un estado de conservación aceptable y muy alejada de los grandes polos de consumo, con la necesidad por ello, de construir a mayores una gran cantidad de km de líneas de Alta Tensión con su correspondiente impacto, además de suponer este escenario el requisito de tener que soportar las correspondientes pérdidas de carga en el transporte de la energía producida, haciendo el proceso más ineficiente.</w:t>
      </w:r>
    </w:p>
    <w:p w14:paraId="18F4988B" w14:textId="77777777" w:rsidR="003042C8" w:rsidRPr="006145F4" w:rsidRDefault="003042C8" w:rsidP="003042C8">
      <w:pPr>
        <w:spacing w:before="120" w:after="120"/>
        <w:ind w:firstLine="708"/>
        <w:jc w:val="both"/>
        <w:rPr>
          <w:rFonts w:ascii="HP Simplified" w:hAnsi="HP Simplified" w:cstheme="minorHAnsi"/>
          <w:color w:val="404040" w:themeColor="text1" w:themeTint="BF"/>
          <w:sz w:val="24"/>
          <w:szCs w:val="24"/>
        </w:rPr>
      </w:pPr>
      <w:r w:rsidRPr="006145F4">
        <w:rPr>
          <w:rFonts w:ascii="HP Simplified" w:hAnsi="HP Simplified" w:cstheme="minorHAnsi"/>
          <w:color w:val="404040" w:themeColor="text1" w:themeTint="BF"/>
          <w:sz w:val="24"/>
          <w:szCs w:val="24"/>
        </w:rPr>
        <w:t xml:space="preserve">Esto resulta en que la resolución de autorización recurrida se vea obligada a condicionar la presente resolución de autorización previa: </w:t>
      </w:r>
      <w:r w:rsidRPr="006145F4">
        <w:rPr>
          <w:rFonts w:ascii="HP Simplified" w:hAnsi="HP Simplified" w:cstheme="minorHAnsi"/>
          <w:i/>
          <w:color w:val="404040" w:themeColor="text1" w:themeTint="BF"/>
          <w:sz w:val="24"/>
          <w:szCs w:val="24"/>
        </w:rPr>
        <w:t xml:space="preserve">“Tercero.– La presente Autorización Administrativa de Previa, queda condicionada a que la instalación de evacuación tramitada junto a este expediente y las evacuaciones comunes compartidas con otras instalaciones tramitadas en otros expedientes, necesarias para la evacuación de la energía generada hasta la Subestación de REE, obtengan la Autorización Administrativa Previa. </w:t>
      </w:r>
      <w:r w:rsidRPr="006145F4">
        <w:rPr>
          <w:rFonts w:ascii="HP Simplified" w:hAnsi="HP Simplified" w:cstheme="minorHAnsi"/>
          <w:i/>
          <w:color w:val="404040" w:themeColor="text1" w:themeTint="BF"/>
          <w:sz w:val="24"/>
          <w:szCs w:val="24"/>
          <w:u w:val="single"/>
        </w:rPr>
        <w:t>Las Autorizaciones de Explotación de todas las infraestructuras de evacuación y la Autorización de Explotación de la planta fotovoltaica se deberán tramitar simultáneamente.</w:t>
      </w:r>
      <w:r w:rsidRPr="006145F4">
        <w:rPr>
          <w:rFonts w:ascii="HP Simplified" w:hAnsi="HP Simplified" w:cstheme="minorHAnsi"/>
          <w:i/>
          <w:color w:val="404040" w:themeColor="text1" w:themeTint="BF"/>
          <w:sz w:val="24"/>
          <w:szCs w:val="24"/>
        </w:rPr>
        <w:t>”</w:t>
      </w:r>
    </w:p>
    <w:p w14:paraId="7A8CC4EA" w14:textId="77777777" w:rsidR="003042C8" w:rsidRPr="006145F4" w:rsidRDefault="003042C8" w:rsidP="003042C8">
      <w:pPr>
        <w:spacing w:before="120" w:after="120"/>
        <w:ind w:firstLine="708"/>
        <w:jc w:val="both"/>
        <w:rPr>
          <w:rFonts w:ascii="HP Simplified" w:hAnsi="HP Simplified" w:cstheme="minorHAnsi"/>
          <w:color w:val="404040" w:themeColor="text1" w:themeTint="BF"/>
          <w:sz w:val="24"/>
          <w:szCs w:val="24"/>
        </w:rPr>
      </w:pPr>
      <w:r w:rsidRPr="006145F4">
        <w:rPr>
          <w:rFonts w:ascii="HP Simplified" w:hAnsi="HP Simplified" w:cstheme="minorHAnsi"/>
          <w:color w:val="404040" w:themeColor="text1" w:themeTint="BF"/>
          <w:sz w:val="24"/>
          <w:szCs w:val="24"/>
        </w:rPr>
        <w:t>Resulta pues fácil constatar que los parques eólicos de Veldedo, Santa Cruz, Ucedo y Porqueros, presentados a este trámite de autorización ambiental, y promovidos todos ellos por el mismo grupo empresarial, son fragmentos de un mismo proyecto. Esta consideración es muy sencilla de acreditar en el caso que nos ocupa, es decir el parque eólico UCEDO, ya que se observa, en el proyecto expuesto a información pública, cómo la distancia entre dos posiciones contiguas de los aerogeneradores de este parque (nº4 y nº5), es mayor a la que separa los últimos aerogeneradores de este parque de los primeros del parque eólico PORQUEROS. Este proceder responde al intento de evitar de esta forma su tramitación ambiental por parte del MITERD y que sean evaluados, como en apariencia ellos mismos suponen, por los menos exigentes estándares de la Junta de Castilla y León, cuestión ésta que por sí misma resulta altamente preocupante. Con escaso rigor y con información sesgada, tanto el Estudio de Impacto Ambiental de este proyecto como el de los otros 3 proyectos, solo hacen referencia a una poligonal recortada, sin tener en cuenta los kms cuadrados de superficie total afectada que, al unirse, este proyecto con los otros 3 y los que hay en la zona, y de los cuáles pasaría a formar parte, crea así un macroproyecto del que no se han cuantificado los datos de impacto medioambiental de una forma real y objetiva.</w:t>
      </w:r>
    </w:p>
    <w:p w14:paraId="056B3C99" w14:textId="77777777" w:rsidR="003042C8" w:rsidRPr="006145F4" w:rsidRDefault="003042C8" w:rsidP="003042C8">
      <w:pPr>
        <w:spacing w:before="120" w:after="120"/>
        <w:ind w:firstLine="708"/>
        <w:jc w:val="both"/>
        <w:rPr>
          <w:rFonts w:ascii="HP Simplified" w:hAnsi="HP Simplified" w:cstheme="minorHAnsi"/>
          <w:color w:val="404040" w:themeColor="text1" w:themeTint="BF"/>
          <w:sz w:val="24"/>
          <w:szCs w:val="24"/>
        </w:rPr>
      </w:pPr>
      <w:r w:rsidRPr="006145F4">
        <w:rPr>
          <w:rFonts w:ascii="HP Simplified" w:hAnsi="HP Simplified" w:cstheme="minorHAnsi"/>
          <w:color w:val="404040" w:themeColor="text1" w:themeTint="BF"/>
          <w:sz w:val="24"/>
          <w:szCs w:val="24"/>
        </w:rPr>
        <w:t xml:space="preserve">Consecuentemente, la afección que de forma totalmente subjetiva se ha analizado en el Estudio de Impacto Ambiental correspondiente al “Parque Eólico UCEDO”, </w:t>
      </w:r>
      <w:r w:rsidRPr="006145F4">
        <w:rPr>
          <w:rFonts w:ascii="HP Simplified" w:hAnsi="HP Simplified" w:cstheme="minorHAnsi"/>
          <w:color w:val="404040" w:themeColor="text1" w:themeTint="BF"/>
          <w:sz w:val="24"/>
          <w:szCs w:val="24"/>
          <w:u w:val="single"/>
        </w:rPr>
        <w:t>no tiene nada que ver con la afección real de la totalidad del proyecto.</w:t>
      </w:r>
      <w:r w:rsidRPr="006145F4">
        <w:rPr>
          <w:rFonts w:ascii="HP Simplified" w:hAnsi="HP Simplified" w:cstheme="minorHAnsi"/>
          <w:color w:val="404040" w:themeColor="text1" w:themeTint="BF"/>
          <w:sz w:val="24"/>
          <w:szCs w:val="24"/>
        </w:rPr>
        <w:t xml:space="preserve"> Esta </w:t>
      </w:r>
      <w:r w:rsidRPr="006145F4">
        <w:rPr>
          <w:rFonts w:ascii="HP Simplified" w:hAnsi="HP Simplified" w:cstheme="minorHAnsi"/>
          <w:color w:val="404040" w:themeColor="text1" w:themeTint="BF"/>
          <w:sz w:val="24"/>
          <w:szCs w:val="24"/>
        </w:rPr>
        <w:lastRenderedPageBreak/>
        <w:t>manera de proceder, a sabiendas, desvirtúa y denigra el procedimiento de evaluación ambiental que como recoge el artículo 1 de la Ley 21/2013, de 9 de diciembre, de evaluación ambiental: “</w:t>
      </w:r>
      <w:r w:rsidRPr="006145F4">
        <w:rPr>
          <w:rFonts w:ascii="HP Simplified" w:hAnsi="HP Simplified" w:cstheme="minorHAnsi"/>
          <w:i/>
          <w:color w:val="404040" w:themeColor="text1" w:themeTint="BF"/>
          <w:sz w:val="24"/>
          <w:szCs w:val="24"/>
        </w:rPr>
        <w:t>establece las bases que deben regir la evaluación ambiental de los planes, programas y proyectos que puedan tener efectos significativos sobre el medio ambiente, garantizando en todo el territorio del Estado un elevado nivel de protección ambiental, con el fin de promover un desarrollo sostenible</w:t>
      </w:r>
      <w:r w:rsidRPr="006145F4">
        <w:rPr>
          <w:rFonts w:ascii="HP Simplified" w:hAnsi="HP Simplified" w:cstheme="minorHAnsi"/>
          <w:color w:val="404040" w:themeColor="text1" w:themeTint="BF"/>
          <w:sz w:val="24"/>
          <w:szCs w:val="24"/>
        </w:rPr>
        <w:t>.” Una correcta Evaluación de Impacto Ambiental, debe tener en cuenta todos los elementos y todos los procesos a desarrollar desde el origen hasta la puesta en funcionamiento de un proyecto.</w:t>
      </w:r>
    </w:p>
    <w:p w14:paraId="7E006928"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En definitiva, una correcta Evaluación de Impacto Ambiental, debe tener en cuenta todos los elementos y todos los procesos a desarrollar desde el origen hasta la puesta en funcionamiento de un proyecto. Teniendo en cuenta esta premisa fundamental, parece difícilmente asumible un impacto ambiental que comporta la transformación, de manera irreversible, de varios cordales de una comarca que presenta un aceptable estado de conservación, y que acoge una favorable diversidad de hábitats y de especies. Además, esta Evaluación como ya hemos comentado debería haberse realizado en conjunto con los otros tres parques eólicos que el mismo promotor tiene proyectados en la misma zona, y no mediante cuatro documentos prácticamente idénticos (que dan como resultado 4 resoluciones de impacto ambiental de igual manera consecuentemente prácticamente idénticas) que únicamente pretenden dividir entre cuatro las afecciones reales. El proyecto requiere de la ejecución de 8.421metros de infraestructuras viales, correspondientes al acceso al parque eólico y a la red de viales internos, que deberán ser de al menos 6 metros de anchura, con una gruesa cimentación para soportar transportes más de 100 Tm (como se recoge en proyectos similares), y no de las dimensiones que pretende el proyecto, ni de su cuantía (6.102 m según el presupuesto). Se deberán realizar, asimismo, 9 kilómetros de zanjas para soterrar las conducciones eléctricas entre los aerogeneradores y la subestación eléctrica del parque, lo que implica el acceso y el trabajo de maquinaria pesada para llevarlas a cabo. Finalmente, para la evacuación de la producción eléctrica, se tiene que construir una línea de alta tensión de más de 30 kilómetros hasta el nudo de Montearenas, perteneciente a Red Eléctrica Española, mediante una línea de alta tensión. Aunque, en el mejor de los casos, se cumpla con todas las medidas preventivas y correctoras recogidas en el estudio de impacto ambiental, este proyecto generaría un gran impacto negativo en las áreas establecidas y supondría la continuación de los parques eólicos ya instalados, con la consiguiente presión sobre la flora y la fauna del área afectada, ya que los parques eólicos de Veldedo, Santa Cruz, Ucedo y Porqueros, están anexos unos de otros, dando continuidad a los parques eólicos Manzanal y San Pedro y Argañoso, ya en funcionamiento, pues se encuentran a una distancia inferior a 2 Km.</w:t>
      </w:r>
    </w:p>
    <w:p w14:paraId="70CF30D8"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eastAsia="Times New Roman" w:hAnsi="HP Simplified" w:cstheme="minorHAnsi"/>
          <w:b/>
          <w:sz w:val="24"/>
          <w:szCs w:val="24"/>
          <w:lang w:eastAsia="es-ES"/>
        </w:rPr>
        <w:t>Tercero.-</w:t>
      </w:r>
      <w:r w:rsidRPr="001F1B81">
        <w:rPr>
          <w:rFonts w:ascii="HP Simplified" w:eastAsia="Times New Roman" w:hAnsi="HP Simplified" w:cstheme="minorHAnsi"/>
          <w:sz w:val="24"/>
          <w:szCs w:val="24"/>
          <w:lang w:eastAsia="es-ES"/>
        </w:rPr>
        <w:t xml:space="preserve"> La resolución de autorización administrativa previa y autorización administrativa de construcción impugnada en este recurso contiene </w:t>
      </w:r>
      <w:r w:rsidRPr="001F1B81">
        <w:rPr>
          <w:rFonts w:ascii="HP Simplified" w:eastAsia="Times New Roman" w:hAnsi="HP Simplified" w:cstheme="minorHAnsi"/>
          <w:b/>
          <w:sz w:val="24"/>
          <w:szCs w:val="24"/>
          <w:lang w:eastAsia="es-ES"/>
        </w:rPr>
        <w:t>insalvables defectos de forma en la tramitación:</w:t>
      </w:r>
    </w:p>
    <w:p w14:paraId="5791BE7C" w14:textId="77777777" w:rsidR="003042C8" w:rsidRPr="001F1B81" w:rsidRDefault="003042C8" w:rsidP="003042C8">
      <w:pPr>
        <w:spacing w:before="120" w:after="120"/>
        <w:ind w:firstLine="708"/>
        <w:jc w:val="both"/>
        <w:rPr>
          <w:rFonts w:ascii="HP Simplified" w:hAnsi="HP Simplified" w:cstheme="minorHAnsi"/>
          <w:i/>
          <w:color w:val="000000" w:themeColor="text1"/>
          <w:sz w:val="24"/>
          <w:szCs w:val="24"/>
        </w:rPr>
      </w:pPr>
      <w:r w:rsidRPr="001F1B81">
        <w:rPr>
          <w:rFonts w:ascii="HP Simplified" w:hAnsi="HP Simplified" w:cstheme="minorHAnsi"/>
          <w:sz w:val="24"/>
          <w:szCs w:val="24"/>
        </w:rPr>
        <w:t xml:space="preserve">A) La </w:t>
      </w:r>
      <w:r w:rsidRPr="001F1B81">
        <w:rPr>
          <w:rFonts w:ascii="HP Simplified" w:hAnsi="HP Simplified" w:cstheme="minorHAnsi"/>
          <w:b/>
          <w:sz w:val="24"/>
          <w:szCs w:val="24"/>
        </w:rPr>
        <w:t>adenda</w:t>
      </w:r>
      <w:r w:rsidRPr="001F1B81">
        <w:rPr>
          <w:rFonts w:ascii="HP Simplified" w:hAnsi="HP Simplified" w:cstheme="minorHAnsi"/>
          <w:sz w:val="24"/>
          <w:szCs w:val="24"/>
        </w:rPr>
        <w:t xml:space="preserve"> que se presentó no ha sido expuesta a información pública, cuando estos cambios sustanciales tras la información pública tendrían que ir acompañados de la repetición de la información pública. Se han producido cambios sustanciales en los </w:t>
      </w:r>
      <w:r w:rsidRPr="001F1B81">
        <w:rPr>
          <w:rFonts w:ascii="HP Simplified" w:hAnsi="HP Simplified" w:cstheme="minorHAnsi"/>
          <w:sz w:val="24"/>
          <w:szCs w:val="24"/>
        </w:rPr>
        <w:lastRenderedPageBreak/>
        <w:t xml:space="preserve">elementos esenciales que han servido de base para realizar la evaluación de impacto ambiental, y afectan de distinta manera a las partes interesadas, que no han sido notificadas ni han contado con un plazo de información pública en el que poder alegar estas nuevas afectaciones, produciéndose indefensión ante una modificación que la propia Declaración de Impacto Ambiental (DIA) califica como “importante”. </w:t>
      </w:r>
      <w:r w:rsidRPr="001F1B81">
        <w:rPr>
          <w:rFonts w:ascii="HP Simplified" w:hAnsi="HP Simplified" w:cstheme="minorHAnsi"/>
          <w:color w:val="000000" w:themeColor="text1"/>
          <w:sz w:val="24"/>
          <w:szCs w:val="24"/>
        </w:rPr>
        <w:t xml:space="preserve">Esta modificación ordenada por la DIA en su página 11/22, afecta al </w:t>
      </w:r>
      <w:r w:rsidRPr="001F1B81">
        <w:rPr>
          <w:rFonts w:ascii="HP Simplified" w:hAnsi="HP Simplified" w:cstheme="minorHAnsi"/>
          <w:color w:val="000000" w:themeColor="text1"/>
          <w:sz w:val="24"/>
          <w:szCs w:val="24"/>
          <w:u w:val="single"/>
        </w:rPr>
        <w:t>“</w:t>
      </w:r>
      <w:r w:rsidRPr="001F1B81">
        <w:rPr>
          <w:rFonts w:ascii="HP Simplified" w:hAnsi="HP Simplified" w:cstheme="minorHAnsi"/>
          <w:i/>
          <w:color w:val="000000" w:themeColor="text1"/>
          <w:sz w:val="24"/>
          <w:szCs w:val="24"/>
          <w:u w:val="single"/>
        </w:rPr>
        <w:t>a) Diseño definitivo del proyecto.</w:t>
      </w:r>
      <w:r w:rsidRPr="001F1B81">
        <w:rPr>
          <w:rFonts w:ascii="HP Simplified" w:hAnsi="HP Simplified" w:cstheme="minorHAnsi"/>
          <w:i/>
          <w:color w:val="000000" w:themeColor="text1"/>
          <w:sz w:val="24"/>
          <w:szCs w:val="24"/>
        </w:rPr>
        <w:t xml:space="preserve"> Con objeto de lograr la compatibilidad del proyecto con los valores del medio natural concurrentes, se deberá cumplir con las condiciones siguientes:</w:t>
      </w:r>
    </w:p>
    <w:p w14:paraId="0D458A2B" w14:textId="77777777" w:rsidR="003042C8" w:rsidRPr="001F1B81" w:rsidRDefault="003042C8" w:rsidP="003042C8">
      <w:pPr>
        <w:spacing w:before="120" w:after="120"/>
        <w:ind w:firstLine="708"/>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 Se reubicará el aerogenerador U-6 al oeste del cortafuego para evitar afectar a la zona de pinar. En caso de que no fuera posible se deberá eliminar dicha posición.</w:t>
      </w:r>
    </w:p>
    <w:p w14:paraId="3FD25569" w14:textId="77777777" w:rsidR="003042C8" w:rsidRPr="001F1B81" w:rsidRDefault="003042C8" w:rsidP="003042C8">
      <w:pPr>
        <w:spacing w:before="120" w:after="120"/>
        <w:ind w:firstLine="708"/>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 Los aerogeneradores U-5 y U-7, se desplazarán ligeramente hacia el oeste para alejarlos del pinar y evitar así su posible afección por el sobrevuelo de las aspas de los aerogeneradores.</w:t>
      </w:r>
    </w:p>
    <w:p w14:paraId="0323630F" w14:textId="77777777" w:rsidR="003042C8" w:rsidRPr="001F1B81" w:rsidRDefault="003042C8" w:rsidP="003042C8">
      <w:pPr>
        <w:spacing w:before="120" w:after="120"/>
        <w:ind w:firstLine="708"/>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 Se deberá redefinir el trazado de 500 m del nuevo camino de acceso que discurre monte a través cerca del aerogenerador U-4 y que conduce hacia la alineación ubicada en el Alto de Manzarnoso. Igualmente se deberá redefinir el trazado de la acometida eléctrica que discurre junto él, debiendo llevarse ambos por la pista existente que discurre en paralelo.</w:t>
      </w:r>
    </w:p>
    <w:p w14:paraId="3EA4DAC5" w14:textId="77777777" w:rsidR="001B22AD" w:rsidRDefault="003042C8" w:rsidP="001B22AD">
      <w:pPr>
        <w:spacing w:before="120" w:after="120"/>
        <w:ind w:firstLine="708"/>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 xml:space="preserve">Dado que estas condiciones suponen una </w:t>
      </w:r>
      <w:r w:rsidRPr="001F1B81">
        <w:rPr>
          <w:rFonts w:ascii="HP Simplified" w:hAnsi="HP Simplified" w:cstheme="minorHAnsi"/>
          <w:i/>
          <w:color w:val="000000" w:themeColor="text1"/>
          <w:sz w:val="24"/>
          <w:szCs w:val="24"/>
          <w:u w:val="single"/>
        </w:rPr>
        <w:t>modificación importante del proyecto</w:t>
      </w:r>
      <w:r w:rsidRPr="001F1B81">
        <w:rPr>
          <w:rFonts w:ascii="HP Simplified" w:hAnsi="HP Simplified" w:cstheme="minorHAnsi"/>
          <w:i/>
          <w:color w:val="000000" w:themeColor="text1"/>
          <w:sz w:val="24"/>
          <w:szCs w:val="24"/>
        </w:rPr>
        <w:t xml:space="preserve">, previamente a su aprobación, se realizará la presentación ante el órgano sustantivo, de una </w:t>
      </w:r>
      <w:r w:rsidRPr="001F1B81">
        <w:rPr>
          <w:rFonts w:ascii="HP Simplified" w:hAnsi="HP Simplified" w:cstheme="minorHAnsi"/>
          <w:i/>
          <w:color w:val="000000" w:themeColor="text1"/>
          <w:sz w:val="24"/>
          <w:szCs w:val="24"/>
          <w:u w:val="single"/>
        </w:rPr>
        <w:t>adenda con las nuevas posiciones de los aerogeneradores, así como con la redefinición de los trazados señalados</w:t>
      </w:r>
      <w:r w:rsidRPr="001F1B81">
        <w:rPr>
          <w:rFonts w:ascii="HP Simplified" w:hAnsi="HP Simplified" w:cstheme="minorHAnsi"/>
          <w:i/>
          <w:color w:val="000000" w:themeColor="text1"/>
          <w:sz w:val="24"/>
          <w:szCs w:val="24"/>
        </w:rPr>
        <w:t>. Dicha adenda deberá ser informada positivamente por la Delegación Territorial de la Junta de Castilla y León en León antes de la autorización definitiva de este proyecto.”</w:t>
      </w:r>
    </w:p>
    <w:p w14:paraId="5C294CD0" w14:textId="3799DAD6" w:rsidR="003042C8" w:rsidRPr="001B22AD" w:rsidRDefault="001B22AD" w:rsidP="001B22AD">
      <w:pPr>
        <w:spacing w:before="120" w:after="120"/>
        <w:ind w:firstLine="708"/>
        <w:jc w:val="both"/>
        <w:rPr>
          <w:rFonts w:ascii="HP Simplified" w:hAnsi="HP Simplified" w:cstheme="minorHAnsi"/>
          <w:i/>
          <w:color w:val="000000" w:themeColor="text1"/>
          <w:sz w:val="24"/>
          <w:szCs w:val="24"/>
        </w:rPr>
      </w:pPr>
      <w:r>
        <w:rPr>
          <w:rFonts w:ascii="HP Simplified" w:hAnsi="HP Simplified" w:cstheme="minorHAnsi"/>
          <w:color w:val="404040" w:themeColor="text1" w:themeTint="BF"/>
          <w:sz w:val="24"/>
          <w:szCs w:val="24"/>
        </w:rPr>
        <w:t>B</w:t>
      </w:r>
      <w:r w:rsidR="003042C8" w:rsidRPr="00771B29">
        <w:rPr>
          <w:rFonts w:ascii="HP Simplified" w:hAnsi="HP Simplified" w:cstheme="minorHAnsi"/>
          <w:color w:val="404040" w:themeColor="text1" w:themeTint="BF"/>
          <w:sz w:val="24"/>
          <w:szCs w:val="24"/>
        </w:rPr>
        <w:t xml:space="preserve">) </w:t>
      </w:r>
      <w:r w:rsidRPr="001B22AD">
        <w:rPr>
          <w:rFonts w:ascii="HP Simplified" w:hAnsi="HP Simplified" w:cstheme="minorHAnsi"/>
          <w:color w:val="404040" w:themeColor="text1" w:themeTint="BF"/>
          <w:sz w:val="24"/>
          <w:szCs w:val="24"/>
        </w:rPr>
        <w:t>S</w:t>
      </w:r>
      <w:r w:rsidR="003042C8" w:rsidRPr="001B22AD">
        <w:rPr>
          <w:rFonts w:ascii="HP Simplified" w:hAnsi="HP Simplified"/>
          <w:color w:val="404040" w:themeColor="text1" w:themeTint="BF"/>
          <w:sz w:val="24"/>
          <w:szCs w:val="24"/>
        </w:rPr>
        <w:t xml:space="preserve">egún </w:t>
      </w:r>
      <w:r w:rsidR="003042C8" w:rsidRPr="001F1B81">
        <w:rPr>
          <w:rFonts w:ascii="HP Simplified" w:hAnsi="HP Simplified"/>
          <w:sz w:val="24"/>
          <w:szCs w:val="24"/>
        </w:rPr>
        <w:t>marca la ley y el Ministerio recoge en su Guía para la realización de los trámites de información pública y de consultas en las evaluaciones de impacto ambiental (</w:t>
      </w:r>
      <w:hyperlink r:id="rId7" w:history="1">
        <w:r w:rsidR="003042C8" w:rsidRPr="001F1B81">
          <w:rPr>
            <w:rStyle w:val="Hipervnculo"/>
            <w:rFonts w:ascii="HP Simplified" w:hAnsi="HP Simplified"/>
            <w:sz w:val="24"/>
            <w:szCs w:val="24"/>
          </w:rPr>
          <w:t>https://www.miteco.gob.es/es/calidad-y-evaluacion-ambiental/temas/guiaipenero21formatoarticulo25012021_tcm30-522384.pdf</w:t>
        </w:r>
      </w:hyperlink>
      <w:r w:rsidR="003042C8" w:rsidRPr="001F1B81">
        <w:rPr>
          <w:rFonts w:ascii="HP Simplified" w:hAnsi="HP Simplified"/>
          <w:sz w:val="24"/>
          <w:szCs w:val="24"/>
        </w:rPr>
        <w:t>), lo adecuado en cuanto a las alegaciones recibidas es que</w:t>
      </w:r>
      <w:r w:rsidR="003042C8" w:rsidRPr="001F1B81">
        <w:rPr>
          <w:rFonts w:ascii="HP Simplified" w:hAnsi="HP Simplified" w:cstheme="minorHAnsi"/>
          <w:color w:val="00B050"/>
          <w:sz w:val="24"/>
          <w:szCs w:val="24"/>
        </w:rPr>
        <w:t xml:space="preserve"> </w:t>
      </w:r>
      <w:r w:rsidR="003042C8" w:rsidRPr="001F1B81">
        <w:rPr>
          <w:rFonts w:ascii="HP Simplified" w:hAnsi="HP Simplified" w:cstheme="minorHAnsi"/>
          <w:i/>
          <w:color w:val="00B050"/>
          <w:sz w:val="24"/>
          <w:szCs w:val="24"/>
        </w:rPr>
        <w:t>“</w:t>
      </w:r>
      <w:r w:rsidR="003042C8" w:rsidRPr="001F1B81">
        <w:rPr>
          <w:rFonts w:ascii="HP Simplified" w:hAnsi="HP Simplified"/>
          <w:i/>
          <w:sz w:val="24"/>
          <w:szCs w:val="24"/>
        </w:rPr>
        <w:t>se detalle cómo han sido tenidas en consideración y/o, en su caso, se justifique la razón por la que no han sido tenidas en cuenta</w:t>
      </w:r>
      <w:r w:rsidR="003042C8" w:rsidRPr="001F1B81">
        <w:rPr>
          <w:rFonts w:ascii="HP Simplified" w:hAnsi="HP Simplified"/>
          <w:sz w:val="24"/>
          <w:szCs w:val="24"/>
        </w:rPr>
        <w:t xml:space="preserve">.” </w:t>
      </w:r>
    </w:p>
    <w:p w14:paraId="3774AF0A" w14:textId="77777777" w:rsidR="003042C8" w:rsidRPr="00771B29" w:rsidRDefault="003042C8" w:rsidP="003042C8">
      <w:pPr>
        <w:spacing w:before="120" w:after="120"/>
        <w:ind w:firstLine="708"/>
        <w:jc w:val="both"/>
        <w:rPr>
          <w:rFonts w:ascii="HP Simplified" w:hAnsi="HP Simplified" w:cstheme="minorHAnsi"/>
          <w:color w:val="404040" w:themeColor="text1" w:themeTint="BF"/>
          <w:sz w:val="24"/>
          <w:szCs w:val="24"/>
        </w:rPr>
      </w:pPr>
      <w:r w:rsidRPr="00771B29">
        <w:rPr>
          <w:rFonts w:ascii="HP Simplified" w:hAnsi="HP Simplified"/>
          <w:color w:val="404040" w:themeColor="text1" w:themeTint="BF"/>
          <w:sz w:val="24"/>
          <w:szCs w:val="24"/>
        </w:rPr>
        <w:t xml:space="preserve">Aunque la </w:t>
      </w:r>
      <w:r w:rsidRPr="00771B29">
        <w:rPr>
          <w:rFonts w:ascii="HP Simplified" w:hAnsi="HP Simplified" w:cstheme="minorHAnsi"/>
          <w:color w:val="404040" w:themeColor="text1" w:themeTint="BF"/>
          <w:sz w:val="24"/>
          <w:szCs w:val="24"/>
        </w:rPr>
        <w:t>Declaración de Impacto Ambiental (</w:t>
      </w:r>
      <w:r w:rsidRPr="00771B29">
        <w:rPr>
          <w:rFonts w:ascii="HP Simplified" w:hAnsi="HP Simplified"/>
          <w:color w:val="404040" w:themeColor="text1" w:themeTint="BF"/>
          <w:sz w:val="24"/>
          <w:szCs w:val="24"/>
        </w:rPr>
        <w:t>DIA) reconoce que se han recibido importantes alegaciones como son: “</w:t>
      </w:r>
      <w:r w:rsidRPr="00771B29">
        <w:rPr>
          <w:rFonts w:ascii="HP Simplified" w:hAnsi="HP Simplified"/>
          <w:i/>
          <w:color w:val="404040" w:themeColor="text1" w:themeTint="BF"/>
          <w:sz w:val="24"/>
          <w:szCs w:val="24"/>
        </w:rPr>
        <w:t xml:space="preserve">deficiente calidad de la documentación presentada en cuanto al estudio de impacto ambiental se refiere, destacando los aspectos relacionados con los estudios de avifauna y quirópteros llevados a cabo, el análisis de alternativas, la evaluación de afecciones y valoración de impactos ambientales, especialmente sobre la fauna, así como sobre las medidas preventivas y correctoras, el plan de vigilancia ambiental y el análisis de los efectos acumulativos o sinérgicos expuestos; en términos generales, se considera que se han minimizado los efectos del impacto del proyecto en el medio ambiente. Igualmente se exponen una serie de alegaciones generales en base a las cuales, se considera que el proyecto no debería ser admitido a trámite, fundamentalmente relacionadas con la fragmentación de proyectos de eólicos promovidos en el entorno”. </w:t>
      </w:r>
      <w:r w:rsidRPr="00771B29">
        <w:rPr>
          <w:rFonts w:ascii="HP Simplified" w:hAnsi="HP Simplified"/>
          <w:color w:val="404040" w:themeColor="text1" w:themeTint="BF"/>
          <w:sz w:val="24"/>
          <w:szCs w:val="24"/>
        </w:rPr>
        <w:t>Sin embargo, n</w:t>
      </w:r>
      <w:r w:rsidRPr="00771B29">
        <w:rPr>
          <w:rFonts w:ascii="HP Simplified" w:hAnsi="HP Simplified" w:cstheme="minorHAnsi"/>
          <w:color w:val="404040" w:themeColor="text1" w:themeTint="BF"/>
          <w:sz w:val="24"/>
          <w:szCs w:val="24"/>
        </w:rPr>
        <w:t xml:space="preserve">o se encuentran adecuadamente tenidas en cuenta las alegaciones presentadas ya que ponen de </w:t>
      </w:r>
      <w:r w:rsidRPr="00771B29">
        <w:rPr>
          <w:rFonts w:ascii="HP Simplified" w:hAnsi="HP Simplified" w:cstheme="minorHAnsi"/>
          <w:color w:val="404040" w:themeColor="text1" w:themeTint="BF"/>
          <w:sz w:val="24"/>
          <w:szCs w:val="24"/>
        </w:rPr>
        <w:lastRenderedPageBreak/>
        <w:t>manifiesto la fragmentación comentada ya, y a la que no se ha respondido convenientemente.</w:t>
      </w:r>
    </w:p>
    <w:p w14:paraId="126BE68E"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color w:val="404040" w:themeColor="text1" w:themeTint="BF"/>
          <w:sz w:val="24"/>
          <w:szCs w:val="24"/>
        </w:rPr>
        <w:t>Respecto al análisis de alternativas, los impactos ambientales en hábitats y especies protegidas, que quedan constatados por la propia DIA, hacen la alternativa 0 la elegible, frente a lo que se da por supuesto en la resolución recurrida que es lo más eficiente y sin impactos significativos de forma arbitraria y no motivada. Todo ello a pesar de que la Declaración de Impacto Ambiental reconoce en su página 9/22  que “</w:t>
      </w:r>
      <w:r w:rsidRPr="00771B29">
        <w:rPr>
          <w:rFonts w:ascii="HP Simplified" w:hAnsi="HP Simplified" w:cstheme="minorHAnsi"/>
          <w:i/>
          <w:color w:val="404040" w:themeColor="text1" w:themeTint="BF"/>
          <w:sz w:val="24"/>
          <w:szCs w:val="24"/>
        </w:rPr>
        <w:t>De igual manera, se ha comprobado que en el ámbito del proyecto o en su entorno inmediato existe la presencia de hábitats de interés comunitario (4030 Brezales secos europeos, 4090 Brezales oromediterráneos endémicos con aliaga, 8130 Desprendimientos mediterráneos occidentales y termófilos, 8230 Roquedos silíceos con vegetación pionera del Sedo-Scleranthion o del Sedo albi-Veronicion dillenii), 9230 Robledales galaico-portugueses con Quercus robur y Quercus pirenaica) al igual que la presencia de especies incluidas en el Catálogo de Flora Protegida de Castilla y León, catalogadas como «De atención preferente» (Callitriche palustis y Senecio doria subsp. legionensis), además de diversas especies de fauna protegida, destacando entre ellas, por su interés o grado de amenaza, el milano real (Milvus milvus), el buitre leonado (Gyps fulvus), el águila culebrera (Circaetus gallicus), el águila calzada (Hieraaetus pennatus), el milano negro (Milvus migrans), el abejero europeo (Pernis apivorus) o el azor (Accipiter gentilis), y también especies de quirópteros como el murciélago montañero (Hypsugo savii), la barbastela (Barbastella barbastellus), el nóctulo pequeño (Nyctalus leisleri), el nóctulo mediano/grande (Nyctalus noctula/lasiopterus) o el murciélago hortelano (Eptesicus serotinus).</w:t>
      </w:r>
      <w:r w:rsidRPr="00771B29">
        <w:rPr>
          <w:rFonts w:ascii="HP Simplified" w:hAnsi="HP Simplified"/>
          <w:color w:val="404040" w:themeColor="text1" w:themeTint="BF"/>
          <w:sz w:val="24"/>
          <w:szCs w:val="24"/>
        </w:rPr>
        <w:t xml:space="preserve"> </w:t>
      </w:r>
      <w:r w:rsidRPr="00771B29">
        <w:rPr>
          <w:rFonts w:ascii="HP Simplified" w:hAnsi="HP Simplified" w:cstheme="minorHAnsi"/>
          <w:i/>
          <w:color w:val="404040" w:themeColor="text1" w:themeTint="BF"/>
          <w:sz w:val="24"/>
          <w:szCs w:val="24"/>
        </w:rPr>
        <w:t xml:space="preserve">A este respecto se estima que las actuaciones previstas no supondrán afecciones significativas a dichos hábitats y especies de fauna, ni afecciones directas para las especies de flora catalogada” </w:t>
      </w:r>
      <w:r w:rsidRPr="00771B29">
        <w:rPr>
          <w:rFonts w:ascii="HP Simplified" w:hAnsi="HP Simplified" w:cstheme="minorHAnsi"/>
          <w:color w:val="404040" w:themeColor="text1" w:themeTint="BF"/>
          <w:sz w:val="24"/>
          <w:szCs w:val="24"/>
        </w:rPr>
        <w:t>sin justificar esta última apreciación</w:t>
      </w:r>
      <w:r w:rsidRPr="00771B29">
        <w:rPr>
          <w:rFonts w:ascii="HP Simplified" w:hAnsi="HP Simplified" w:cstheme="minorHAnsi"/>
          <w:i/>
          <w:color w:val="404040" w:themeColor="text1" w:themeTint="BF"/>
          <w:sz w:val="24"/>
          <w:szCs w:val="24"/>
        </w:rPr>
        <w:t xml:space="preserve">. </w:t>
      </w:r>
      <w:r w:rsidRPr="00771B29">
        <w:rPr>
          <w:rFonts w:ascii="HP Simplified" w:hAnsi="HP Simplified" w:cstheme="minorHAnsi"/>
          <w:color w:val="404040" w:themeColor="text1" w:themeTint="BF"/>
          <w:sz w:val="24"/>
          <w:szCs w:val="24"/>
        </w:rPr>
        <w:t xml:space="preserve">Simplemente no se han considerado seriamente y estudiado los impactos en la flora y fauna, primeramente, a causa de restringir el estudio de impactos en un fraccionamiento fraudulento del proyecto, que además cuenta con un EsIA muy deficiente. Entre otras cosas porque no se ha seguido las directrices de la Guía del Ministerio de Calidad y Evaluación Ambiental sobre transectos necesarios para valorar el impacto de la línea de evacuación. Dicho impacto no ha sido estudiado y ni ponderado adecuadamente; </w:t>
      </w:r>
      <w:r w:rsidRPr="00771B29">
        <w:rPr>
          <w:rFonts w:ascii="HP Simplified" w:hAnsi="HP Simplified" w:cstheme="minorHAnsi"/>
          <w:b/>
          <w:color w:val="404040" w:themeColor="text1" w:themeTint="BF"/>
          <w:sz w:val="24"/>
          <w:szCs w:val="24"/>
        </w:rPr>
        <w:t>sencillamente no aparecen en el EsIA datos de transectos y muestreo de la avifauna respecto a la línea de evacuación</w:t>
      </w:r>
      <w:r w:rsidRPr="00771B29">
        <w:rPr>
          <w:rFonts w:ascii="HP Simplified" w:hAnsi="HP Simplified" w:cstheme="minorHAnsi"/>
          <w:color w:val="404040" w:themeColor="text1" w:themeTint="BF"/>
          <w:sz w:val="24"/>
          <w:szCs w:val="24"/>
        </w:rPr>
        <w:t xml:space="preserve">. Según el propio criterio del Ministerio, el ámbito territorial recomendado de estudio del impacto debería abarcar, al menos, “3 km alrededor de sus respectivas líneas eléctricas de evacuación. En todo caso, se recomienda justificar adecuadamente el ámbito finalmente elegido en función de la capacidad dispersiva de las especies presentes. Este radio se ampliará a 5 km en el caso de que se sospeche la presencia de especies incluidas en el CEEA.”(página49) </w:t>
      </w:r>
      <w:hyperlink r:id="rId8" w:history="1">
        <w:r w:rsidRPr="00771B29">
          <w:rPr>
            <w:rStyle w:val="Hipervnculo"/>
            <w:rFonts w:ascii="HP Simplified" w:hAnsi="HP Simplified" w:cstheme="minorHAnsi"/>
            <w:color w:val="404040" w:themeColor="text1" w:themeTint="BF"/>
            <w:sz w:val="24"/>
            <w:szCs w:val="24"/>
          </w:rPr>
          <w:t>https://www.miteco.gob.es/es/calidad-y-evaluacion-ambiental/temas/guiaelaboracionesiaplantasfotovoltaicassgea_tcm30-538300.pdf</w:t>
        </w:r>
      </w:hyperlink>
      <w:r w:rsidRPr="00771B29">
        <w:rPr>
          <w:rFonts w:ascii="HP Simplified" w:hAnsi="HP Simplified" w:cstheme="minorHAnsi"/>
          <w:color w:val="404040" w:themeColor="text1" w:themeTint="BF"/>
          <w:sz w:val="24"/>
          <w:szCs w:val="24"/>
        </w:rPr>
        <w:t xml:space="preserve"> . “</w:t>
      </w:r>
      <w:r w:rsidRPr="00771B29">
        <w:rPr>
          <w:rFonts w:ascii="HP Simplified" w:hAnsi="HP Simplified" w:cstheme="minorHAnsi"/>
          <w:i/>
          <w:color w:val="404040" w:themeColor="text1" w:themeTint="BF"/>
          <w:sz w:val="24"/>
          <w:szCs w:val="24"/>
        </w:rPr>
        <w:t xml:space="preserve">En el estudio de avifauna se debe detallar la metodología empleada, la cual se recomienda que esté respaldada científicamente y que cumpla, en su caso, las exigencias establecidas por las administraciones competentes. Asimismo, la metodología empleada en el estudio de avifauna debería ser adecuada para repetirla durante la fase de explotación como parte del plan de vigilancia ambiental, con el objetivo de conocer el impacto real del proyecto y determinar el área en el que se </w:t>
      </w:r>
      <w:r w:rsidRPr="00771B29">
        <w:rPr>
          <w:rFonts w:ascii="HP Simplified" w:hAnsi="HP Simplified" w:cstheme="minorHAnsi"/>
          <w:i/>
          <w:color w:val="404040" w:themeColor="text1" w:themeTint="BF"/>
          <w:sz w:val="24"/>
          <w:szCs w:val="24"/>
        </w:rPr>
        <w:lastRenderedPageBreak/>
        <w:t>produce un descenso de la abundancia o riqueza de especies. Se debería indicar al menos:</w:t>
      </w:r>
    </w:p>
    <w:p w14:paraId="507899D8"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w:t>
      </w:r>
      <w:r w:rsidRPr="00771B29">
        <w:rPr>
          <w:rFonts w:ascii="HP Simplified" w:hAnsi="HP Simplified" w:cstheme="minorHAnsi"/>
          <w:i/>
          <w:color w:val="404040" w:themeColor="text1" w:themeTint="BF"/>
          <w:sz w:val="24"/>
          <w:szCs w:val="24"/>
        </w:rPr>
        <w:tab/>
        <w:t>Selección de la técnica de muestreo, justificada en función de la especie o especies objetivo (estación de escucha, punto de observación, radioseguimiento, transecto a pie o en vehículo, etc.)</w:t>
      </w:r>
    </w:p>
    <w:p w14:paraId="3DB2DF84"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w:t>
      </w:r>
      <w:r w:rsidRPr="00771B29">
        <w:rPr>
          <w:rFonts w:ascii="HP Simplified" w:hAnsi="HP Simplified" w:cstheme="minorHAnsi"/>
          <w:i/>
          <w:color w:val="404040" w:themeColor="text1" w:themeTint="BF"/>
          <w:sz w:val="24"/>
          <w:szCs w:val="24"/>
        </w:rPr>
        <w:tab/>
        <w:t>Esfuerzo de muestreo: número de observadores, que siempre deben tener experiencia demostrada en la materia (ornitólogos); frecuencia de muestreo (número de prospecciones en cada época del ciclo vital, horas efectivas de seguimiento, longitud de transectos, duración de observaciones y/o escuchas, etc.)</w:t>
      </w:r>
    </w:p>
    <w:p w14:paraId="1235A1F3"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w:t>
      </w:r>
      <w:r w:rsidRPr="00771B29">
        <w:rPr>
          <w:rFonts w:ascii="HP Simplified" w:hAnsi="HP Simplified" w:cstheme="minorHAnsi"/>
          <w:i/>
          <w:color w:val="404040" w:themeColor="text1" w:themeTint="BF"/>
          <w:sz w:val="24"/>
          <w:szCs w:val="24"/>
        </w:rPr>
        <w:tab/>
        <w:t>Protocolo específico para la toma de datos y el archivo y documentación de registros, evitando en cualquier caso la agregación de registros por localidad o periodo de muestreo. Los registros de los avistamientos realizados se georreferenciarán e incluirán, en la medida de lo posible: especie, sexo, número de ejemplares, edad, altura en vuelo, comportamiento, hábitats utilizados, trayectorias, etc. También se recomienda registrar las condiciones meteorológicas mediante mediciones in situ y la presencia y uso humano de la zona durante las actividades de muestreo.”</w:t>
      </w:r>
    </w:p>
    <w:p w14:paraId="2E929655"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"Con carácter general, se recomiendan los siguientes esfuerzos de muestreo mínimos para la realización del estudio de avifauna:</w:t>
      </w:r>
    </w:p>
    <w:p w14:paraId="489E176A"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w:t>
      </w:r>
      <w:r w:rsidRPr="00771B29">
        <w:rPr>
          <w:rFonts w:ascii="HP Simplified" w:hAnsi="HP Simplified" w:cstheme="minorHAnsi"/>
          <w:i/>
          <w:color w:val="404040" w:themeColor="text1" w:themeTint="BF"/>
          <w:sz w:val="24"/>
          <w:szCs w:val="24"/>
        </w:rPr>
        <w:tab/>
        <w:t>Frecuencia mínima: Visitas quincenales en primavera y en la época de mayores concentraciones invernales (1 de diciembre a 31 de enero); y visitas mensuales en verano, en el periodo postnupcial y durante resto de la invernada.</w:t>
      </w:r>
    </w:p>
    <w:p w14:paraId="73F523DB"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w:t>
      </w:r>
      <w:r w:rsidRPr="00771B29">
        <w:rPr>
          <w:rFonts w:ascii="HP Simplified" w:hAnsi="HP Simplified" w:cstheme="minorHAnsi"/>
          <w:i/>
          <w:color w:val="404040" w:themeColor="text1" w:themeTint="BF"/>
          <w:sz w:val="24"/>
          <w:szCs w:val="24"/>
        </w:rPr>
        <w:tab/>
        <w:t>Densidades mínimas (siempre se debe garantizar que se prospecta toda la diversidad de hábitats presentes en la zona de implantación y en toda la longitud de la línea):</w:t>
      </w:r>
    </w:p>
    <w:p w14:paraId="1E6D8D69"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Calibri"/>
          <w:i/>
          <w:color w:val="404040" w:themeColor="text1" w:themeTint="BF"/>
          <w:sz w:val="24"/>
          <w:szCs w:val="24"/>
        </w:rPr>
        <w:t></w:t>
      </w:r>
      <w:r w:rsidRPr="00771B29">
        <w:rPr>
          <w:rFonts w:ascii="HP Simplified" w:hAnsi="HP Simplified" w:cs="Calibri"/>
          <w:i/>
          <w:color w:val="404040" w:themeColor="text1" w:themeTint="BF"/>
          <w:sz w:val="24"/>
          <w:szCs w:val="24"/>
        </w:rPr>
        <w:tab/>
        <w:t>Dentro de la planta solar: 1 transecto/100 ha de superficie.</w:t>
      </w:r>
    </w:p>
    <w:p w14:paraId="6BD6AA91"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Calibri"/>
          <w:i/>
          <w:color w:val="404040" w:themeColor="text1" w:themeTint="BF"/>
          <w:sz w:val="24"/>
          <w:szCs w:val="24"/>
        </w:rPr>
        <w:t></w:t>
      </w:r>
      <w:r w:rsidRPr="00771B29">
        <w:rPr>
          <w:rFonts w:ascii="HP Simplified" w:hAnsi="HP Simplified" w:cs="Calibri"/>
          <w:i/>
          <w:color w:val="404040" w:themeColor="text1" w:themeTint="BF"/>
          <w:sz w:val="24"/>
          <w:szCs w:val="24"/>
        </w:rPr>
        <w:tab/>
        <w:t>Trazado de la línea eléctrica: 3 transectos por cada 10 km de línea.</w:t>
      </w:r>
    </w:p>
    <w:p w14:paraId="255A6A13" w14:textId="77777777" w:rsidR="003042C8" w:rsidRPr="00771B29" w:rsidRDefault="003042C8" w:rsidP="003042C8">
      <w:pPr>
        <w:spacing w:before="120" w:after="120"/>
        <w:ind w:firstLine="708"/>
        <w:jc w:val="both"/>
        <w:rPr>
          <w:rFonts w:ascii="HP Simplified" w:hAnsi="HP Simplified" w:cstheme="minorHAnsi"/>
          <w:i/>
          <w:color w:val="404040" w:themeColor="text1" w:themeTint="BF"/>
          <w:sz w:val="24"/>
          <w:szCs w:val="24"/>
        </w:rPr>
      </w:pPr>
      <w:r w:rsidRPr="00771B29">
        <w:rPr>
          <w:rFonts w:ascii="HP Simplified" w:hAnsi="HP Simplified" w:cs="Calibri"/>
          <w:i/>
          <w:color w:val="404040" w:themeColor="text1" w:themeTint="BF"/>
          <w:sz w:val="24"/>
          <w:szCs w:val="24"/>
        </w:rPr>
        <w:t></w:t>
      </w:r>
      <w:r w:rsidRPr="00771B29">
        <w:rPr>
          <w:rFonts w:ascii="HP Simplified" w:hAnsi="HP Simplified" w:cs="Calibri"/>
          <w:i/>
          <w:color w:val="404040" w:themeColor="text1" w:themeTint="BF"/>
          <w:sz w:val="24"/>
          <w:szCs w:val="24"/>
        </w:rPr>
        <w:tab/>
        <w:t>Ámbito de estudio de la planta solar: 5 transectos.</w:t>
      </w:r>
    </w:p>
    <w:p w14:paraId="18A415E0" w14:textId="77777777" w:rsidR="003042C8" w:rsidRPr="00771B29" w:rsidRDefault="003042C8" w:rsidP="003042C8">
      <w:pPr>
        <w:spacing w:before="120" w:after="120"/>
        <w:ind w:firstLine="708"/>
        <w:jc w:val="both"/>
        <w:rPr>
          <w:rFonts w:ascii="HP Simplified" w:hAnsi="HP Simplified" w:cs="Calibri"/>
          <w:i/>
          <w:color w:val="404040" w:themeColor="text1" w:themeTint="BF"/>
          <w:sz w:val="24"/>
          <w:szCs w:val="24"/>
        </w:rPr>
      </w:pPr>
      <w:r w:rsidRPr="00771B29">
        <w:rPr>
          <w:rFonts w:ascii="HP Simplified" w:hAnsi="HP Simplified" w:cs="Calibri"/>
          <w:i/>
          <w:color w:val="404040" w:themeColor="text1" w:themeTint="BF"/>
          <w:sz w:val="24"/>
          <w:szCs w:val="24"/>
        </w:rPr>
        <w:t></w:t>
      </w:r>
      <w:r w:rsidRPr="00771B29">
        <w:rPr>
          <w:rFonts w:ascii="HP Simplified" w:hAnsi="HP Simplified" w:cs="Calibri"/>
          <w:i/>
          <w:color w:val="404040" w:themeColor="text1" w:themeTint="BF"/>
          <w:sz w:val="24"/>
          <w:szCs w:val="24"/>
        </w:rPr>
        <w:tab/>
        <w:t>Ámbito de estudio de la línea eléctrica: 6 transectos por cada 10 km de línea eléctrica.</w:t>
      </w:r>
    </w:p>
    <w:p w14:paraId="69E7E3FA" w14:textId="77777777" w:rsidR="003042C8" w:rsidRPr="00771B29" w:rsidRDefault="003042C8" w:rsidP="003042C8">
      <w:pPr>
        <w:spacing w:before="120" w:after="120"/>
        <w:ind w:firstLine="708"/>
        <w:jc w:val="both"/>
        <w:rPr>
          <w:rFonts w:ascii="HP Simplified" w:hAnsi="HP Simplified" w:cstheme="minorHAnsi"/>
          <w:color w:val="404040" w:themeColor="text1" w:themeTint="BF"/>
          <w:sz w:val="24"/>
          <w:szCs w:val="24"/>
        </w:rPr>
      </w:pPr>
      <w:r w:rsidRPr="00771B29">
        <w:rPr>
          <w:rFonts w:ascii="HP Simplified" w:hAnsi="HP Simplified" w:cs="Calibri"/>
          <w:i/>
          <w:color w:val="404040" w:themeColor="text1" w:themeTint="BF"/>
          <w:sz w:val="24"/>
          <w:szCs w:val="24"/>
        </w:rPr>
        <w:t></w:t>
      </w:r>
      <w:r w:rsidRPr="00771B29">
        <w:rPr>
          <w:rFonts w:ascii="HP Simplified" w:hAnsi="HP Simplified" w:cs="Calibri"/>
          <w:i/>
          <w:color w:val="404040" w:themeColor="text1" w:themeTint="BF"/>
          <w:sz w:val="24"/>
          <w:szCs w:val="24"/>
        </w:rPr>
        <w:tab/>
        <w:t>Para aquellos grupos que por su biología se encuentren ligados a ciertos hábitats de una manera estrecha, las búsquedas activas o identificación de señales o indic</w:t>
      </w:r>
      <w:r w:rsidRPr="00771B29">
        <w:rPr>
          <w:rFonts w:ascii="HP Simplified" w:hAnsi="HP Simplified" w:cstheme="minorHAnsi"/>
          <w:i/>
          <w:color w:val="404040" w:themeColor="text1" w:themeTint="BF"/>
          <w:sz w:val="24"/>
          <w:szCs w:val="24"/>
        </w:rPr>
        <w:t>ios deberá concentrarse en aquellas ubicaciones en las que sea posible su localización.</w:t>
      </w:r>
      <w:r w:rsidRPr="00771B29">
        <w:rPr>
          <w:rFonts w:ascii="HP Simplified" w:hAnsi="HP Simplified" w:cstheme="minorHAnsi"/>
          <w:color w:val="404040" w:themeColor="text1" w:themeTint="BF"/>
          <w:sz w:val="24"/>
          <w:szCs w:val="24"/>
        </w:rPr>
        <w:t>"</w:t>
      </w:r>
    </w:p>
    <w:p w14:paraId="0021D11B" w14:textId="77777777" w:rsidR="003042C8" w:rsidRPr="00771B29" w:rsidRDefault="003042C8" w:rsidP="003042C8">
      <w:pPr>
        <w:spacing w:before="120" w:after="120"/>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 xml:space="preserve">Los datos reales de las alegaciones sobre impactos significativos en </w:t>
      </w:r>
      <w:r w:rsidRPr="00771B29">
        <w:rPr>
          <w:rFonts w:ascii="HP Simplified" w:hAnsi="HP Simplified"/>
          <w:color w:val="404040" w:themeColor="text1" w:themeTint="BF"/>
          <w:sz w:val="24"/>
          <w:szCs w:val="24"/>
        </w:rPr>
        <w:t>avifauna protegida, quirópteros, oso pardo y lobo ibérico s</w:t>
      </w:r>
      <w:r w:rsidRPr="00771B29">
        <w:rPr>
          <w:rFonts w:ascii="HP Simplified" w:hAnsi="HP Simplified" w:cstheme="minorHAnsi"/>
          <w:color w:val="404040" w:themeColor="text1" w:themeTint="BF"/>
          <w:sz w:val="24"/>
          <w:szCs w:val="24"/>
        </w:rPr>
        <w:t xml:space="preserve">e imponen y requieren un contraste científico y no meras afirmaciones gratuitas. La ley de evaluación ambiental exige una fundamentación científica respaldada con datos de campo de estas apreciaciones tan injustificadas. La alternativa 0 de no construcción debería reconsiderarse, particularmente teniendo en cuenta el potencial efecto sinérgico y acumulativo con otras instalaciones eólicas previstas o en funcionamiento en el entorno. La no realización del proyecto no debería impedir el cumplimiento de los objetivos climáticos </w:t>
      </w:r>
      <w:r w:rsidRPr="00771B29">
        <w:rPr>
          <w:rFonts w:ascii="HP Simplified" w:hAnsi="HP Simplified" w:cstheme="minorHAnsi"/>
          <w:color w:val="404040" w:themeColor="text1" w:themeTint="BF"/>
          <w:sz w:val="24"/>
          <w:szCs w:val="24"/>
        </w:rPr>
        <w:lastRenderedPageBreak/>
        <w:t>y de energía asumidos por la UE para 2020 (Directiva 2009/28/CE, del Parlamento Europeo y del Consejo, de 23 de abril de 2009), ya que es posible seleccionar otras localizaciones más adecuadas que no afecten a áreas de distribución y de expansión de especies amenazadas o de interés, que no perjudiquen corredores biológicos y que no generen un cúmulo de infraestructuras que dé lugar a un impacto negativo acumulativo.</w:t>
      </w:r>
    </w:p>
    <w:p w14:paraId="2C5F9FC6" w14:textId="77777777" w:rsidR="003042C8" w:rsidRPr="001F1B81" w:rsidRDefault="003042C8" w:rsidP="003042C8">
      <w:pPr>
        <w:spacing w:before="120" w:after="120"/>
        <w:ind w:firstLine="708"/>
        <w:jc w:val="both"/>
        <w:rPr>
          <w:rFonts w:ascii="HP Simplified" w:hAnsi="HP Simplified" w:cstheme="minorHAnsi"/>
          <w:i/>
          <w:sz w:val="24"/>
          <w:szCs w:val="24"/>
        </w:rPr>
      </w:pPr>
      <w:r w:rsidRPr="001F1B81">
        <w:rPr>
          <w:rFonts w:ascii="HP Simplified" w:hAnsi="HP Simplified" w:cstheme="minorHAnsi"/>
          <w:sz w:val="24"/>
          <w:szCs w:val="24"/>
        </w:rPr>
        <w:t xml:space="preserve">Según la legislación vigente el Estudio de impacto ambiental debe estudiar los impactos en relación con las alternativas razonables. La </w:t>
      </w:r>
      <w:r w:rsidRPr="001F1B81">
        <w:rPr>
          <w:rFonts w:ascii="HP Simplified" w:hAnsi="HP Simplified" w:cstheme="minorHAnsi"/>
          <w:b/>
          <w:sz w:val="24"/>
          <w:szCs w:val="24"/>
        </w:rPr>
        <w:t>Ley de Evaluación Ambiental</w:t>
      </w:r>
      <w:r w:rsidRPr="001F1B81">
        <w:rPr>
          <w:rFonts w:ascii="HP Simplified" w:hAnsi="HP Simplified" w:cstheme="minorHAnsi"/>
          <w:sz w:val="24"/>
          <w:szCs w:val="24"/>
        </w:rPr>
        <w:t xml:space="preserve"> define en su artículo 5, “</w:t>
      </w:r>
      <w:r w:rsidRPr="001F1B81">
        <w:rPr>
          <w:rFonts w:ascii="HP Simplified" w:hAnsi="HP Simplified" w:cstheme="minorHAnsi"/>
          <w:i/>
          <w:sz w:val="24"/>
          <w:szCs w:val="24"/>
        </w:rPr>
        <w:t xml:space="preserve">Estudio de impacto ambiental”: documento elaborado por el promotor que acompaña al proyecto e identifica, describe, cuantifica y analiza los posibles efectos significativos sobre el medio ambiente derivados o que puedan derivarse del proyecto, así como la vulnerabilidad del proyecto ante riesgos de accidentes graves o de catástrofes, el riesgo de que se produzcan dichos accidentes graves o catástrofes y el obligatorio análisis de los probables efectos adversos significativos en el medio ambiente en caso de ocurrencia. También </w:t>
      </w:r>
      <w:r w:rsidRPr="001F1B81">
        <w:rPr>
          <w:rFonts w:ascii="HP Simplified" w:hAnsi="HP Simplified" w:cstheme="minorHAnsi"/>
          <w:b/>
          <w:i/>
          <w:sz w:val="24"/>
          <w:szCs w:val="24"/>
        </w:rPr>
        <w:t>analiza las diversas alternativas</w:t>
      </w:r>
      <w:r w:rsidRPr="001F1B81">
        <w:rPr>
          <w:rFonts w:ascii="HP Simplified" w:hAnsi="HP Simplified" w:cstheme="minorHAnsi"/>
          <w:i/>
          <w:sz w:val="24"/>
          <w:szCs w:val="24"/>
        </w:rPr>
        <w:t xml:space="preserve"> razonables, técnica y ambientalmente viables, y determina las medidas necesarias para prevenir, corregir y, en su caso, compensar, los efectos adversos sobre el medio ambiente.</w:t>
      </w:r>
    </w:p>
    <w:p w14:paraId="6B8133CA"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sz w:val="24"/>
          <w:szCs w:val="24"/>
        </w:rPr>
        <w:t>Según su Artículo 35. “</w:t>
      </w:r>
      <w:r w:rsidRPr="001F1B81">
        <w:rPr>
          <w:rFonts w:ascii="HP Simplified" w:hAnsi="HP Simplified" w:cstheme="minorHAnsi"/>
          <w:i/>
          <w:sz w:val="24"/>
          <w:szCs w:val="24"/>
        </w:rPr>
        <w:t>Estudio de impacto ambiental.</w:t>
      </w:r>
    </w:p>
    <w:p w14:paraId="56ACB1D6"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1. Sin perjuicio de lo señalado en el artículo 34.6, el promotor elaborará el estudio de impacto ambiental que contendrá, al menos, la siguiente información en los términos desarrollados en el anexo VI:</w:t>
      </w:r>
    </w:p>
    <w:p w14:paraId="3A2F367C"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a) Descripción general del proyecto que incluya información sobre su ubicación, diseño, dimensiones y otras características pertinentes del proyecto; y previsiones en el tiempo sobre la utilización del suelo y de otros recursos naturales. Estimación de los tipos y cantidades de residuos generados y emisiones de materia o energía resultantes.</w:t>
      </w:r>
    </w:p>
    <w:p w14:paraId="404A016C"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xml:space="preserve">b) </w:t>
      </w:r>
      <w:r w:rsidRPr="001F1B81">
        <w:rPr>
          <w:rFonts w:ascii="HP Simplified" w:hAnsi="HP Simplified" w:cstheme="minorHAnsi"/>
          <w:i/>
          <w:sz w:val="24"/>
          <w:szCs w:val="24"/>
          <w:u w:val="single"/>
        </w:rPr>
        <w:t>Descripción de las diversas alternativas razonables estudiadas que tengan relación con el proyecto y sus características específicas, incluida la alternativa cero</w:t>
      </w:r>
      <w:r w:rsidRPr="001F1B81">
        <w:rPr>
          <w:rFonts w:ascii="HP Simplified" w:hAnsi="HP Simplified" w:cstheme="minorHAnsi"/>
          <w:i/>
          <w:sz w:val="24"/>
          <w:szCs w:val="24"/>
        </w:rPr>
        <w:t>, o de no realización del proyecto, y una justificación de las principales razones de la solución adoptada, teniendo en cuenta los efectos del proyecto sobre el medio ambiente.”</w:t>
      </w:r>
    </w:p>
    <w:p w14:paraId="722565EC"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xml:space="preserve">“Cabe señalar que, tal como se establece en el art.16 de la Ley 3/2009, de 6 de abril, de montes de Castilla y León, en los proyectos de construcción de todo tipo de infraestructuras ajenas a la gestión forestal se evitará, siempre que existan alternativas viables, afectar a montes catalogados de utilidad pública y montes protectores.” (En la web oficial del IDECYLhttps://idecyl.jcyl.es/geonetwork/geonetwork/search?keyword=Recursos%20energ%C3%A9ticos). Debería haberse estudiado una ubicación alternativa a los Montes de Utilidad Pública como marca la ley. No olvidemos que una alternativa razonable y viable es la que el propio ministerio señala en su hoja de ruta otorgándole un potencial de 169 GW a los tejados y cubiertas: “El estudio obtiene un potencial técnico en el escenario objetivo a 2030 de 71 GW en cubiertas y 98 GW en fachadas, alcanzando por tanto un potencial técnico de 169 GW” (https://www.miteco.gob.es/es/ministerio/planes-estrategias/hoja-ruta-autoconsumo/hojaderutaautoconsumo_tcm30-534411.pdf). Esto sería más que </w:t>
      </w:r>
      <w:r w:rsidRPr="001F1B81">
        <w:rPr>
          <w:rFonts w:ascii="HP Simplified" w:hAnsi="HP Simplified" w:cstheme="minorHAnsi"/>
          <w:sz w:val="24"/>
          <w:szCs w:val="24"/>
        </w:rPr>
        <w:lastRenderedPageBreak/>
        <w:t xml:space="preserve">suficiente para cubrir lo proyectado por el Plan Integrado de Energía y Clima, que establece que “durante el período 2021/2030 se prevé la instalación de una capacidad adicional de generación eléctrica con renovables de 59 GW”. </w:t>
      </w:r>
    </w:p>
    <w:p w14:paraId="1FC3F8D6"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De la misma forma, la propia Comisión Europea establece que los estados tienen que determinar las áreas donde poner renovables atendiendo a estos criterios: "</w:t>
      </w:r>
      <w:r w:rsidRPr="001F1B81">
        <w:rPr>
          <w:rFonts w:ascii="HP Simplified" w:hAnsi="HP Simplified" w:cstheme="minorHAnsi"/>
          <w:i/>
          <w:sz w:val="24"/>
          <w:szCs w:val="24"/>
        </w:rPr>
        <w:t>dar prioridad a las superficies artificiales y construidas, tales como azoteas, áreas de infraestructura de transporte, áreas de estacionamiento, vertederos, polígonos industriales, minas, cuerpos de agua interiores artificiales, lagos o embalses y, en su caso, sitios de tratamiento de aguas residuales urbanas, así como degradados y tierra no utilizable para la agricultura;"</w:t>
      </w:r>
      <w:r w:rsidRPr="001F1B81">
        <w:rPr>
          <w:rFonts w:ascii="HP Simplified" w:hAnsi="HP Simplified" w:cstheme="minorHAnsi"/>
          <w:sz w:val="24"/>
          <w:szCs w:val="24"/>
        </w:rPr>
        <w:t xml:space="preserve"> (</w:t>
      </w:r>
      <w:hyperlink r:id="rId9" w:history="1">
        <w:r w:rsidRPr="001F1B81">
          <w:rPr>
            <w:rFonts w:ascii="HP Simplified" w:hAnsi="HP Simplified" w:cstheme="minorHAnsi"/>
            <w:sz w:val="24"/>
            <w:szCs w:val="24"/>
          </w:rPr>
          <w:t>https://joint-research-centre.ec.europa.eu/scientific-tools-databases/energy-and-industry-geography-lab/go-areas-wind-and-solar_en</w:t>
        </w:r>
      </w:hyperlink>
      <w:r w:rsidRPr="001F1B81">
        <w:rPr>
          <w:rFonts w:ascii="HP Simplified" w:hAnsi="HP Simplified" w:cstheme="minorHAnsi"/>
          <w:sz w:val="24"/>
          <w:szCs w:val="24"/>
        </w:rPr>
        <w:t>).</w:t>
      </w:r>
    </w:p>
    <w:p w14:paraId="3C2DE503"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Por otra parte, esto debe ser tenido en cuenta a la hora del tan invocado interés general, para contraponerlo al carácter de bien demanial, como infraestructura verde de provisión de servicios ecosistémicos, de los Montes de Utilidad Pública (según la </w:t>
      </w:r>
      <w:r w:rsidRPr="001F1B81">
        <w:rPr>
          <w:rFonts w:ascii="HP Simplified" w:hAnsi="HP Simplified" w:cstheme="minorHAnsi"/>
          <w:b/>
          <w:sz w:val="24"/>
          <w:szCs w:val="24"/>
        </w:rPr>
        <w:t>Ley de Montes</w:t>
      </w:r>
      <w:r w:rsidRPr="001F1B81">
        <w:rPr>
          <w:rFonts w:ascii="HP Simplified" w:hAnsi="HP Simplified" w:cstheme="minorHAnsi"/>
          <w:sz w:val="24"/>
          <w:szCs w:val="24"/>
        </w:rPr>
        <w:t>); pues este interés general no es una potestad discrecional, sino que requiere satisfacer las condiciones objetivas de necesidad, idoneidad y proporcionalidad, según la jurisprudencia que se cita a continuación.</w:t>
      </w:r>
      <w:r>
        <w:rPr>
          <w:rFonts w:ascii="HP Simplified" w:hAnsi="HP Simplified" w:cstheme="minorHAnsi"/>
          <w:sz w:val="24"/>
          <w:szCs w:val="24"/>
        </w:rPr>
        <w:t xml:space="preserve"> </w:t>
      </w:r>
      <w:r w:rsidRPr="001F1B81">
        <w:rPr>
          <w:rFonts w:ascii="HP Simplified" w:hAnsi="HP Simplified" w:cstheme="minorHAnsi"/>
          <w:sz w:val="24"/>
          <w:szCs w:val="24"/>
        </w:rPr>
        <w:t>El interés general debe ser atendido con objetividad en base a los requisitos que marca la ley según el ARTÍCULO 103 CE: “</w:t>
      </w:r>
      <w:r w:rsidRPr="001F1B81">
        <w:rPr>
          <w:rFonts w:ascii="HP Simplified" w:hAnsi="HP Simplified" w:cstheme="minorHAnsi"/>
          <w:i/>
          <w:sz w:val="24"/>
          <w:szCs w:val="24"/>
        </w:rPr>
        <w:t>La Administración Pública sirve con objetividad los intereses generales y actúa de acuerdo con los principios de eficacia, jerarquía, descentralización, desconcentración y coordinación, con sometimiento pleno a la ley y al Derecho.”</w:t>
      </w:r>
    </w:p>
    <w:p w14:paraId="47B77191"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Tanto el interés general como la utilidad pública deben ser justificados, como señala la jurisprudencia,  según el siguiente texto extraído de la web oficial del congreso (</w:t>
      </w:r>
      <w:hyperlink r:id="rId10" w:history="1">
        <w:r w:rsidRPr="001F1B81">
          <w:rPr>
            <w:rStyle w:val="Hipervnculo"/>
            <w:rFonts w:ascii="HP Simplified" w:hAnsi="HP Simplified" w:cstheme="minorHAnsi"/>
            <w:sz w:val="24"/>
            <w:szCs w:val="24"/>
          </w:rPr>
          <w:t>https://app.congreso.es/consti/constitucion/indice/sinopsis/sinopsis.jsp?art=103&amp;tipo=2</w:t>
        </w:r>
      </w:hyperlink>
      <w:r w:rsidRPr="001F1B81">
        <w:rPr>
          <w:rFonts w:ascii="HP Simplified" w:hAnsi="HP Simplified" w:cstheme="minorHAnsi"/>
          <w:sz w:val="24"/>
          <w:szCs w:val="24"/>
        </w:rPr>
        <w:t xml:space="preserve">): &lt;&lt;La </w:t>
      </w:r>
      <w:r w:rsidRPr="001F1B81">
        <w:rPr>
          <w:rFonts w:ascii="HP Simplified" w:hAnsi="HP Simplified" w:cstheme="minorHAnsi"/>
          <w:b/>
          <w:sz w:val="24"/>
          <w:szCs w:val="24"/>
        </w:rPr>
        <w:t>sentencia del Tribunal Constitucional 14/2003, de 28 de enero</w:t>
      </w:r>
      <w:r w:rsidRPr="001F1B81">
        <w:rPr>
          <w:rFonts w:ascii="HP Simplified" w:hAnsi="HP Simplified" w:cstheme="minorHAnsi"/>
          <w:sz w:val="24"/>
          <w:szCs w:val="24"/>
        </w:rPr>
        <w:t>, entre otras muchas, afrontó el conflicto entre un interés general o público, al que por definición ha de servir la Administración, y derechos fundamentales de la ciudadanía. La sentencia señaló que las limitaciones que se establezcan no pueden obstruir el derecho fundamental más allá de lo razonable, de donde se desprende que todo acto o resolución que  limite derechos fundamentales ha de asegurar que las medidas limitadoras sean necesarias para conseguir el fin perseguido, haciendo hincapié el Alto Tribunal en la necesidad de que la medida restrictiva de un derecho fundamental supere "</w:t>
      </w:r>
      <w:r w:rsidRPr="001F1B81">
        <w:rPr>
          <w:rFonts w:ascii="HP Simplified" w:hAnsi="HP Simplified" w:cstheme="minorHAnsi"/>
          <w:b/>
          <w:i/>
          <w:sz w:val="24"/>
          <w:szCs w:val="24"/>
        </w:rPr>
        <w:t>el juicio de proporcionalidad</w:t>
      </w:r>
      <w:r w:rsidRPr="001F1B81">
        <w:rPr>
          <w:rFonts w:ascii="HP Simplified" w:hAnsi="HP Simplified" w:cstheme="minorHAnsi"/>
          <w:sz w:val="24"/>
          <w:szCs w:val="24"/>
        </w:rPr>
        <w:t xml:space="preserve">", a cuyo efecto es necesario constatar si se cumplen las tres condiciones siguientes: </w:t>
      </w:r>
    </w:p>
    <w:p w14:paraId="638C9A78" w14:textId="77777777" w:rsidR="003042C8" w:rsidRPr="001F1B81" w:rsidRDefault="003042C8" w:rsidP="003042C8">
      <w:pPr>
        <w:pStyle w:val="Prrafodelista"/>
        <w:numPr>
          <w:ilvl w:val="0"/>
          <w:numId w:val="34"/>
        </w:numPr>
        <w:spacing w:before="120" w:after="120" w:line="240" w:lineRule="auto"/>
        <w:ind w:left="284" w:hanging="284"/>
        <w:contextualSpacing w:val="0"/>
        <w:jc w:val="both"/>
        <w:rPr>
          <w:rFonts w:ascii="HP Simplified" w:hAnsi="HP Simplified" w:cstheme="minorHAnsi"/>
          <w:sz w:val="24"/>
          <w:szCs w:val="24"/>
        </w:rPr>
      </w:pPr>
      <w:r w:rsidRPr="001F1B81">
        <w:rPr>
          <w:rFonts w:ascii="HP Simplified" w:hAnsi="HP Simplified" w:cstheme="minorHAnsi"/>
          <w:sz w:val="24"/>
          <w:szCs w:val="24"/>
        </w:rPr>
        <w:t xml:space="preserve">si la medida es susceptible de conseguir el objetivo propuesto (juicio de idoneidad); </w:t>
      </w:r>
    </w:p>
    <w:p w14:paraId="240EE2C9" w14:textId="77777777" w:rsidR="003042C8" w:rsidRPr="001F1B81" w:rsidRDefault="003042C8" w:rsidP="003042C8">
      <w:pPr>
        <w:pStyle w:val="Prrafodelista"/>
        <w:numPr>
          <w:ilvl w:val="0"/>
          <w:numId w:val="34"/>
        </w:numPr>
        <w:spacing w:before="120" w:after="120" w:line="240" w:lineRule="auto"/>
        <w:ind w:left="284" w:hanging="284"/>
        <w:contextualSpacing w:val="0"/>
        <w:jc w:val="both"/>
        <w:rPr>
          <w:rFonts w:ascii="HP Simplified" w:hAnsi="HP Simplified" w:cstheme="minorHAnsi"/>
          <w:sz w:val="24"/>
          <w:szCs w:val="24"/>
        </w:rPr>
      </w:pPr>
      <w:r w:rsidRPr="001F1B81">
        <w:rPr>
          <w:rFonts w:ascii="HP Simplified" w:hAnsi="HP Simplified" w:cstheme="minorHAnsi"/>
          <w:sz w:val="24"/>
          <w:szCs w:val="24"/>
        </w:rPr>
        <w:t xml:space="preserve">si, además, es necesaria, en el sentido de que no exista otra medida más moderada para la consecución de tal propósito (juicio de necesidad); </w:t>
      </w:r>
    </w:p>
    <w:p w14:paraId="6A1EEFCA" w14:textId="77777777" w:rsidR="003042C8" w:rsidRPr="001F1B81" w:rsidRDefault="003042C8" w:rsidP="003042C8">
      <w:pPr>
        <w:pStyle w:val="Prrafodelista"/>
        <w:numPr>
          <w:ilvl w:val="0"/>
          <w:numId w:val="34"/>
        </w:numPr>
        <w:spacing w:before="120" w:after="120" w:line="240" w:lineRule="auto"/>
        <w:ind w:left="284" w:hanging="284"/>
        <w:contextualSpacing w:val="0"/>
        <w:jc w:val="both"/>
        <w:rPr>
          <w:rFonts w:ascii="HP Simplified" w:hAnsi="HP Simplified" w:cstheme="minorHAnsi"/>
          <w:sz w:val="24"/>
          <w:szCs w:val="24"/>
        </w:rPr>
      </w:pPr>
      <w:r w:rsidRPr="001F1B81">
        <w:rPr>
          <w:rFonts w:ascii="HP Simplified" w:hAnsi="HP Simplified" w:cstheme="minorHAnsi"/>
          <w:sz w:val="24"/>
          <w:szCs w:val="24"/>
        </w:rPr>
        <w:t xml:space="preserve">y, finalmente, si la misma es ponderada o equilibrada, por derivarse de ella más beneficios o ventajas para el interés general que perjuicios sobre otros bienes o valores en conflicto.  </w:t>
      </w:r>
    </w:p>
    <w:p w14:paraId="3FE2101E"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xml:space="preserve">Pero obsérvese que la confrontación no sólo puede presentarse entre interés público e interés individual (incluso bajo el manto de un derecho fundamental afectado), sino </w:t>
      </w:r>
      <w:r w:rsidRPr="001F1B81">
        <w:rPr>
          <w:rFonts w:ascii="HP Simplified" w:hAnsi="HP Simplified" w:cstheme="minorHAnsi"/>
          <w:sz w:val="24"/>
          <w:szCs w:val="24"/>
        </w:rPr>
        <w:lastRenderedPageBreak/>
        <w:t>también entre intereses públicos distintos. El artículo 103.1 alude en singular a la Administración Pública, (…) de manera que las garantías y exigencias que del mismo se desprenden beneficiarán o restringirán la actuación de cualquier Administración Pública y, por ende, afectarán en lo que corresponda a cualquier ciudadano en sus relaciones con las Administraciones Públicas. Dicho esto, es obvio que los "intereses públicos" a los que alude el artículo 103.1 deben ponerse en correlación con cada una de las Administraciones existentes, lo que puede llevar en ocasiones -y así ocurre a veces en la práctica- a un conflicto de intereses públicos: dos o más Administraciones, en trance de servir a los intereses públicos que les corresponden, adoptan medidas -cada una de ella dentro de su ámbito competencial- contradictorias o que entran en conflicto. Aunque el artículo 103.1 no ofrece una solución explícita a situaciones como la descrita, sin embargo, los principios a los que también alude (especialmente, por lo que ahora interesa, los de eficacia y coordinación) deben tenerse presente en trance de resolver la cuestión. En todo caso, quizá no sería necesario realizar un gran esfuerzo argumental para sostener que del artículo 103.1 se desprende el principio del "interés público prevalente" (cuando se produzca conflicto con otros intereses públicos representado por distintas Administraciones), que no necesariamente siempre tendrá que coincidir con el interés público de la Administración del Estado.&gt;&gt;</w:t>
      </w:r>
    </w:p>
    <w:p w14:paraId="5E9132C7" w14:textId="77777777" w:rsidR="003042C8" w:rsidRPr="001F1B81" w:rsidRDefault="003042C8" w:rsidP="003042C8">
      <w:pPr>
        <w:spacing w:before="120" w:after="120"/>
        <w:ind w:firstLine="709"/>
        <w:jc w:val="both"/>
        <w:rPr>
          <w:rFonts w:ascii="HP Simplified" w:hAnsi="HP Simplified" w:cstheme="minorHAnsi"/>
          <w:sz w:val="24"/>
          <w:szCs w:val="24"/>
        </w:rPr>
      </w:pPr>
      <w:r w:rsidRPr="001F1B81">
        <w:rPr>
          <w:rFonts w:ascii="HP Simplified" w:hAnsi="HP Simplified" w:cstheme="minorHAnsi"/>
          <w:sz w:val="24"/>
          <w:szCs w:val="24"/>
        </w:rPr>
        <w:t>Resulta elemental entonces, que no estamos ante un ejercicio de potestad discrecional alguna sino ante la presencia en todo momento de conceptos jurídicos indeterminados que obligan a su debida interpretación, tarea que complica enormemente el régimen jurídico de la implantación de actividades en suelo no urbanizable pero que en ningún caso implica discrecionalidad administrativa, siendo además impreciso concluir que, una vez autorizada, se generan derechos que antes no existieran. Si el uso propuesto cumple las determinaciones previstas en un Plan sectorial, la Administración Pública está obligada a interpretar unívocamente el concepto jurídico indeterminado, procediendo a su autorización a través de un procedimiento administrativo absolutamente reglado. La previsibilidad de varias solicitudes puede conllevar el acertado sometimiento al régimen de concesión administrativa.</w:t>
      </w:r>
      <w:r>
        <w:rPr>
          <w:rFonts w:ascii="HP Simplified" w:hAnsi="HP Simplified" w:cstheme="minorHAnsi"/>
          <w:sz w:val="24"/>
          <w:szCs w:val="24"/>
        </w:rPr>
        <w:t xml:space="preserve"> </w:t>
      </w:r>
      <w:r w:rsidRPr="001F1B81">
        <w:rPr>
          <w:rFonts w:ascii="HP Simplified" w:hAnsi="HP Simplified" w:cstheme="minorHAnsi"/>
          <w:sz w:val="24"/>
          <w:szCs w:val="24"/>
        </w:rPr>
        <w:t>Por lo tanto, no se puede considerar otorgada sin más la declaración de utilidad pública o de interés general a todo proyecto de renovables para su realización en suelo rural. Si no, no se satisfaría la condición de proporcionalidad, lo cual conculcaría la obligación de la Administración Pública de servir con objetividad a los intereses generales. Sin criterios que justifiquen ese reconocimiento de la utilidad pública en cada caso y con un límite, constituiría un abuso de poder. Debe articularse un procedimiento que garantice el cumplimiento de las tres condiciones que se señala en la web oficial del Congreso.</w:t>
      </w:r>
    </w:p>
    <w:p w14:paraId="0355DB02"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Así mismo, la </w:t>
      </w:r>
      <w:r w:rsidRPr="001F1B81">
        <w:rPr>
          <w:rFonts w:ascii="HP Simplified" w:hAnsi="HP Simplified" w:cstheme="minorHAnsi"/>
          <w:b/>
          <w:sz w:val="24"/>
          <w:szCs w:val="24"/>
        </w:rPr>
        <w:t>Sentencia Del Tribunal Supremo, Sala De Lo Contencioso-Administrativo, de 19 de mayo de 2008</w:t>
      </w:r>
      <w:r w:rsidRPr="001F1B81">
        <w:rPr>
          <w:rFonts w:ascii="HP Simplified" w:hAnsi="HP Simplified" w:cstheme="minorHAnsi"/>
          <w:sz w:val="24"/>
          <w:szCs w:val="24"/>
        </w:rPr>
        <w:t xml:space="preserve">, Recurso Nº. 2861/2004, determina que la utilidad pública o el interés social no pueda identificarse sin más con cualquier actividad industrial, comercial o negocial, de la que se derive la satisfacción de una necesidad para los ciudadanos, ya que la extensión de la excepción legal a todo este tipo de instalaciones o actividades supondría la conversión de la excepción en la regla general. Mientras que, siguiendo la jerarquía de normas, nos encontramos por </w:t>
      </w:r>
      <w:r w:rsidRPr="001F1B81">
        <w:rPr>
          <w:rFonts w:ascii="HP Simplified" w:hAnsi="HP Simplified" w:cstheme="minorHAnsi"/>
          <w:b/>
          <w:sz w:val="24"/>
          <w:szCs w:val="24"/>
        </w:rPr>
        <w:t xml:space="preserve">Real Decreto 1346/1976, de 9 de abril, por el que se aprueba el texto refundido de la Ley sobre </w:t>
      </w:r>
      <w:r w:rsidRPr="001F1B81">
        <w:rPr>
          <w:rFonts w:ascii="HP Simplified" w:hAnsi="HP Simplified" w:cstheme="minorHAnsi"/>
          <w:b/>
          <w:sz w:val="24"/>
          <w:szCs w:val="24"/>
        </w:rPr>
        <w:lastRenderedPageBreak/>
        <w:t xml:space="preserve">Régimen del Suelo y Ordenación Urbana, </w:t>
      </w:r>
      <w:r w:rsidRPr="001F1B81">
        <w:rPr>
          <w:rFonts w:ascii="HP Simplified" w:hAnsi="HP Simplified" w:cstheme="minorHAnsi"/>
          <w:sz w:val="24"/>
          <w:szCs w:val="24"/>
        </w:rPr>
        <w:t xml:space="preserve">que los espacios que por sus características según el Plan General deban ser objeto de una </w:t>
      </w:r>
      <w:r w:rsidRPr="001F1B81">
        <w:rPr>
          <w:rFonts w:ascii="HP Simplified" w:hAnsi="HP Simplified" w:cstheme="minorHAnsi"/>
          <w:sz w:val="24"/>
          <w:szCs w:val="24"/>
          <w:u w:val="single"/>
        </w:rPr>
        <w:t>especial protección a los efectos de esta Ley, no podrán ser dedicados a utilizaciones que impliquen transformación de su destino o naturaleza o lesionen el valor específico que se quiera proteger</w:t>
      </w:r>
      <w:r w:rsidRPr="001F1B81">
        <w:rPr>
          <w:rFonts w:ascii="HP Simplified" w:hAnsi="HP Simplified" w:cstheme="minorHAnsi"/>
          <w:sz w:val="24"/>
          <w:szCs w:val="24"/>
        </w:rPr>
        <w:t xml:space="preserve">. (Artículo 80.2.) El procedimiento de otorgamiento de las licencias se ajustará a lo prevenido en la Legislación de Régimen Local. </w:t>
      </w:r>
      <w:r w:rsidRPr="001F1B81">
        <w:rPr>
          <w:rFonts w:ascii="HP Simplified" w:hAnsi="HP Simplified" w:cstheme="minorHAnsi"/>
          <w:sz w:val="24"/>
          <w:szCs w:val="24"/>
          <w:u w:val="single"/>
        </w:rPr>
        <w:t>En ningún caso se entenderán adquiridas por silencio administrativo facultades en contra de las prescripciones de esta Ley, de los Planes, Proyectos, Programas y, en su caso, de las Normas Complementarias y Subsidiarias del Planeamiento.</w:t>
      </w:r>
      <w:r w:rsidRPr="001F1B81">
        <w:rPr>
          <w:rFonts w:ascii="HP Simplified" w:hAnsi="HP Simplified" w:cstheme="minorHAnsi"/>
          <w:sz w:val="24"/>
          <w:szCs w:val="24"/>
        </w:rPr>
        <w:t xml:space="preserve"> (Artículo 178.3.)</w:t>
      </w:r>
    </w:p>
    <w:p w14:paraId="0FBF7F9F" w14:textId="77777777" w:rsidR="003042C8" w:rsidRPr="001F1B81" w:rsidRDefault="003042C8" w:rsidP="003042C8">
      <w:pPr>
        <w:spacing w:before="120" w:after="120"/>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Cuarto.-</w:t>
      </w:r>
      <w:r w:rsidRPr="001F1B81">
        <w:rPr>
          <w:rFonts w:ascii="HP Simplified" w:eastAsia="Times New Roman" w:hAnsi="HP Simplified" w:cstheme="minorHAnsi"/>
          <w:sz w:val="24"/>
          <w:szCs w:val="24"/>
          <w:lang w:eastAsia="es-ES"/>
        </w:rPr>
        <w:t xml:space="preserve"> La resolución de la autorización administrativa previa y autorización administrativa de construcción impugnada no pondera adecuadamente la titularidad, y gestión de los </w:t>
      </w:r>
      <w:r w:rsidRPr="001F1B81">
        <w:rPr>
          <w:rFonts w:ascii="HP Simplified" w:eastAsia="Times New Roman" w:hAnsi="HP Simplified" w:cstheme="minorHAnsi"/>
          <w:b/>
          <w:sz w:val="24"/>
          <w:szCs w:val="24"/>
          <w:lang w:eastAsia="es-ES"/>
        </w:rPr>
        <w:t xml:space="preserve">Montes de Utilidad Pública </w:t>
      </w:r>
      <w:r w:rsidRPr="001F1B81">
        <w:rPr>
          <w:rFonts w:ascii="HP Simplified" w:eastAsia="Times New Roman" w:hAnsi="HP Simplified" w:cstheme="minorHAnsi"/>
          <w:sz w:val="24"/>
          <w:szCs w:val="24"/>
          <w:lang w:eastAsia="es-ES"/>
        </w:rPr>
        <w:t xml:space="preserve">para garantizar la </w:t>
      </w:r>
      <w:r w:rsidRPr="001F1B81">
        <w:rPr>
          <w:rFonts w:ascii="HP Simplified" w:eastAsia="Times New Roman" w:hAnsi="HP Simplified" w:cstheme="minorHAnsi"/>
          <w:b/>
          <w:sz w:val="24"/>
          <w:szCs w:val="24"/>
          <w:lang w:eastAsia="es-ES"/>
        </w:rPr>
        <w:t>compatibilidad de usos con la utilidad pública de este dominio público y de los comunales.</w:t>
      </w:r>
    </w:p>
    <w:p w14:paraId="408FAA76"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Como constata la Declaración de Impacto Ambiental, “</w:t>
      </w:r>
      <w:r w:rsidRPr="00771B29">
        <w:rPr>
          <w:rFonts w:ascii="HP Simplified" w:hAnsi="HP Simplified"/>
          <w:i/>
          <w:color w:val="404040" w:themeColor="text1" w:themeTint="BF"/>
          <w:sz w:val="24"/>
          <w:szCs w:val="24"/>
        </w:rPr>
        <w:t>el proyecto presenta coincidencia con los siguientes Montes de Utilidad Pública: MUP 69 Monte de Ucedo y MUP 939 Pinar de Valdepuercos), y también con terrenos forestales arbolados y desarbolados que ostentan la condición jurídica de monte</w:t>
      </w:r>
      <w:r w:rsidRPr="00771B29">
        <w:rPr>
          <w:rFonts w:ascii="HP Simplified" w:hAnsi="HP Simplified"/>
          <w:color w:val="404040" w:themeColor="text1" w:themeTint="BF"/>
          <w:sz w:val="24"/>
          <w:szCs w:val="24"/>
        </w:rPr>
        <w:t>.” A este respecto, se hace la apreciación injustificada de que las actuaciones previstas son compatibles con dichos espacios, siempre y cuando se cumplan las medidas preventivas y correctoras</w:t>
      </w:r>
      <w:r w:rsidRPr="00771B29">
        <w:rPr>
          <w:rFonts w:ascii="HP Simplified" w:hAnsi="HP Simplified" w:cstheme="minorHAnsi"/>
          <w:color w:val="404040" w:themeColor="text1" w:themeTint="BF"/>
          <w:sz w:val="24"/>
          <w:szCs w:val="24"/>
        </w:rPr>
        <w:t>. Sin embargo, la titularidad de estos MUP es de las Juntas Vecinales, y por tanto se trata de comunales regidos por derecho germánico teniendo derechos cada uno de los vecinos y vecinas, que en este caso están llevando a cabo un aprovechamiento sostenible con selvicultura, apicultura, estando protegidos estos sistemas de aprovechamiento por el reconocimiento de la Organización de las Naciones Unidas para la Alimentación y la Agricultura (FAO) a las montañas de León como SIPAM (“Sistema de Importancia en el Patrimonio Agrícola Mundial”) .</w:t>
      </w:r>
    </w:p>
    <w:p w14:paraId="628B5771"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Por tanto, en cuanto al estatuto jurídico de los territorios en los que se proyecta este complejo eólico, pretende disponer de terrenos que no son bienes de titularidad del municipio, sino dominio público de las Juntas Vecinales de naturaleza jurídica particular de origen consuetudinario y un claro reconocimiento como bienes comunales pertenecientes a las Entidades Locales menores, y de aprovechamiento exclusivo por los vecinos y vecinas. Comportan un régimen jurídico y administrativo especial, caracterizado por su indivisibilidad y su inalienabilidad, imprescriptibilidad e inembargabilidad. En este sentido, cualquier modificación o propuesta de cambio ha de cumplir con el principio de transparencia y el procedimiento de información pública correspondiente, además de la aprobación de la entidad local afectada manifestando la voluntad vecinal. Citamos a continuación la legislación que regula el estatuto de los bienes comunales:</w:t>
      </w:r>
    </w:p>
    <w:p w14:paraId="16A67D71"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w:t>
      </w:r>
      <w:r w:rsidRPr="001F1B81">
        <w:rPr>
          <w:rFonts w:ascii="HP Simplified" w:hAnsi="HP Simplified" w:cstheme="minorHAnsi"/>
          <w:sz w:val="24"/>
          <w:szCs w:val="24"/>
        </w:rPr>
        <w:tab/>
        <w:t>Constitución Española, artículo 132.</w:t>
      </w:r>
    </w:p>
    <w:p w14:paraId="0C272767"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w:t>
      </w:r>
      <w:r w:rsidRPr="001F1B81">
        <w:rPr>
          <w:rFonts w:ascii="HP Simplified" w:hAnsi="HP Simplified" w:cstheme="minorHAnsi"/>
          <w:sz w:val="24"/>
          <w:szCs w:val="24"/>
        </w:rPr>
        <w:tab/>
        <w:t>Ley 7/1985, de 2 de abril, Reguladora de las Bases del Régimen Local, artículos 79.3 y 80.1.</w:t>
      </w:r>
    </w:p>
    <w:p w14:paraId="551F5B9B"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w:t>
      </w:r>
      <w:r w:rsidRPr="001F1B81">
        <w:rPr>
          <w:rFonts w:ascii="HP Simplified" w:hAnsi="HP Simplified" w:cstheme="minorHAnsi"/>
          <w:sz w:val="24"/>
          <w:szCs w:val="24"/>
        </w:rPr>
        <w:tab/>
        <w:t>Real Decreto Legislativo 781/1986 de 18 de abril por el que se aprueba el Texto Refundido de las disposiciones legales vigentes en materia de régimen local; artículo 75 relativo al orden de preferencia de las formas de explotación previstas para los aprovechamientos comunales.</w:t>
      </w:r>
    </w:p>
    <w:p w14:paraId="2F0A2433"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lastRenderedPageBreak/>
        <w:t>-</w:t>
      </w:r>
      <w:r w:rsidRPr="001F1B81">
        <w:rPr>
          <w:rFonts w:ascii="HP Simplified" w:hAnsi="HP Simplified" w:cstheme="minorHAnsi"/>
          <w:sz w:val="24"/>
          <w:szCs w:val="24"/>
        </w:rPr>
        <w:tab/>
        <w:t>Reglamento de Bienes de Entidades Locales, Real Decreto 1372 / 1986, artículo. 2.4.</w:t>
      </w:r>
    </w:p>
    <w:p w14:paraId="331B78AB"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En este sentido encontramos el precedente de impugnación por el que la propia Junta de Castilla y León declara nulo de pleno derecho el  acuerdo de la Junta de Gobierno de la excelentísima Diputación Provincial de Zamora por el que se autoriza al Ayuntamiento de Cobreros la transformación del aprovechamiento de parcelas comunales de uso agrícola a uso industrial, por Orden de 26 de agosto de 2021 de la Consejería de la Presidencia por la que se resuelve recurso alzada interpuesto contra el acuerdo de la Junta de Gobierno de la exclama Diputación Provincial de Zamora de fecha 14 de abril de 2021. En esta resolución se aclara que el Tribunal Supremo ha </w:t>
      </w:r>
      <w:r w:rsidRPr="00771B29">
        <w:rPr>
          <w:rFonts w:ascii="HP Simplified" w:hAnsi="HP Simplified" w:cstheme="minorHAnsi"/>
          <w:color w:val="404040" w:themeColor="text1" w:themeTint="BF"/>
          <w:sz w:val="24"/>
          <w:szCs w:val="24"/>
        </w:rPr>
        <w:t>afirmado</w:t>
      </w:r>
      <w:r w:rsidRPr="001F1B81">
        <w:rPr>
          <w:rFonts w:ascii="HP Simplified" w:hAnsi="HP Simplified" w:cstheme="minorHAnsi"/>
          <w:sz w:val="24"/>
          <w:szCs w:val="24"/>
        </w:rPr>
        <w:t xml:space="preserve"> reiteradamente (sentencia de 21 de septiembre de 1999): “la nota que caracteriza pues a los bienes comunales, es la de que su aprovechamiento corresponde al común de los vecinos, siendo tal comunidad de aprovechamiento y disfrute de tipo germánica y en mano común, y por lo tanto indivisible e inalienable. Tal derecho de los vecinos a acceder a los aprovechamientos comunales se configura doctrinal y jurisprudencialmente como un derecho real administrativo de goce y cuya titularidad por aquellos en común concurre con el dominio del municipio o entidad local menor, dando lugar así a una propiedad compartida entre el municipio y los vecinos, de naturaleza jurídico administrativa; correspondiendo al municipio la administración, conservación y rescate de su patrimonio y la regulación u ordenación del disfrute o aprovechamiento de los bienes comunales y a los vecinos el derecho a acceder a los aprovechamientos comunales.”</w:t>
      </w:r>
    </w:p>
    <w:p w14:paraId="3FF0FE2E"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Merece especial atención la afección a Montes de Utilidad Pública pues suponen un sumidero de carbono a fomentar según el Artículo 26 de la Ley de Cambio Climático y Transición Energética.</w:t>
      </w:r>
    </w:p>
    <w:p w14:paraId="1B53FE2F"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Además, según el artículo 12 la Ley 21/2015, de 20 de julio, por la que se modifica la Ley 43/2003, de 21 de noviembre, de Montes, son dominio público, y por lo tanto, “son inalienables, imprescriptibles e inembargables” según su artículo 14. Una de las novedades que introduce esta Ley, es la consideración, como un nuevo principio inspirador de esta ley, de los montes como infraestructuras verdes, en sintonía con la Comunicación de la Comisión al Parlamento Europeo, al Consejo, al Comité Económico y Social Europeo y al Comité de las Regiones COM (2013) 249 final, de 6 de mayo de 2013, denominada «Infraestructura verde: mejora del capital natural de Europa», puesto que constituyen unos sistemas naturales prestadores de servicios ambientales de primer orden. Y por ser dominio público están sujetos a un régimen especial, descrito en el Artículo 15 de dicha ley, sobre Régimen de usos en el dominio público forestal:</w:t>
      </w:r>
    </w:p>
    <w:p w14:paraId="004B11E4" w14:textId="77777777" w:rsidR="003042C8" w:rsidRPr="001F1B81" w:rsidRDefault="003042C8" w:rsidP="003042C8">
      <w:pPr>
        <w:spacing w:before="120" w:after="120"/>
        <w:jc w:val="both"/>
        <w:rPr>
          <w:rFonts w:ascii="HP Simplified" w:hAnsi="HP Simplified" w:cstheme="minorHAnsi"/>
          <w:i/>
          <w:sz w:val="24"/>
          <w:szCs w:val="24"/>
          <w:u w:val="single"/>
        </w:rPr>
      </w:pPr>
      <w:r w:rsidRPr="001F1B81">
        <w:rPr>
          <w:rFonts w:ascii="HP Simplified" w:hAnsi="HP Simplified" w:cstheme="minorHAnsi"/>
          <w:i/>
          <w:sz w:val="24"/>
          <w:szCs w:val="24"/>
        </w:rPr>
        <w:t xml:space="preserve">“1. La Administración gestora de los montes demaniales </w:t>
      </w:r>
      <w:r w:rsidRPr="001F1B81">
        <w:rPr>
          <w:rFonts w:ascii="HP Simplified" w:hAnsi="HP Simplified" w:cstheme="minorHAnsi"/>
          <w:i/>
          <w:sz w:val="24"/>
          <w:szCs w:val="24"/>
          <w:u w:val="single"/>
        </w:rPr>
        <w:t>podrá dar carácter público a aquellos usos respetuosos con el medio natural, siempre que se realicen sin ánimo de lucro y de acuerdo con la normativa vigente, en particular con lo previsto en los instrumentos de planificación y gestión aplicables, y cuando sean compatibles con los aprovechamientos, autorizaciones o concesiones legalmente establecidos.</w:t>
      </w:r>
    </w:p>
    <w:p w14:paraId="5AFA0FE0" w14:textId="77777777" w:rsidR="003042C8" w:rsidRPr="001F1B81" w:rsidRDefault="003042C8" w:rsidP="003042C8">
      <w:pPr>
        <w:spacing w:before="120" w:after="120"/>
        <w:jc w:val="both"/>
        <w:rPr>
          <w:rFonts w:ascii="HP Simplified" w:hAnsi="HP Simplified" w:cstheme="minorHAnsi"/>
          <w:i/>
          <w:sz w:val="24"/>
          <w:szCs w:val="24"/>
          <w:u w:val="single"/>
        </w:rPr>
      </w:pPr>
      <w:r w:rsidRPr="001F1B81">
        <w:rPr>
          <w:rFonts w:ascii="HP Simplified" w:hAnsi="HP Simplified" w:cstheme="minorHAnsi"/>
          <w:i/>
          <w:sz w:val="24"/>
          <w:szCs w:val="24"/>
        </w:rPr>
        <w:t xml:space="preserve">2. La Administración gestora de los montes demaniales someterá </w:t>
      </w:r>
      <w:r w:rsidRPr="001F1B81">
        <w:rPr>
          <w:rFonts w:ascii="HP Simplified" w:hAnsi="HP Simplified" w:cstheme="minorHAnsi"/>
          <w:i/>
          <w:sz w:val="24"/>
          <w:szCs w:val="24"/>
          <w:u w:val="single"/>
        </w:rPr>
        <w:t xml:space="preserve">a otorgamiento de autorizaciones aquellas actividades que, de acuerdo con la normativa autonómica, la </w:t>
      </w:r>
      <w:r w:rsidRPr="001F1B81">
        <w:rPr>
          <w:rFonts w:ascii="HP Simplified" w:hAnsi="HP Simplified" w:cstheme="minorHAnsi"/>
          <w:i/>
          <w:sz w:val="24"/>
          <w:szCs w:val="24"/>
          <w:u w:val="single"/>
        </w:rPr>
        <w:lastRenderedPageBreak/>
        <w:t>requieran por su intensidad, peligrosidad o rentabilidad. En los montes catalogados será preceptivo el informe favorable del órgano forestal de la comunidad autónoma.</w:t>
      </w:r>
    </w:p>
    <w:p w14:paraId="463FD91F"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3. Los aprovechamientos forestales en el dominio público forestal se regirán por lo que se establece en los artículos 36 y 37 de esta ley.</w:t>
      </w:r>
    </w:p>
    <w:p w14:paraId="1A794CD6"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4. La Administración gestora de los montes demaniales someterá a otorgamiento de concesión todas aquellas actividades que impliquen una utilización privativa del dominio público forestal. En los montes catalogados, esta concesión requerirá el informe favorable de compatibilidad con la persistencia de los valores naturales del monte por parte del órgano forestal de la comunidad autónoma.</w:t>
      </w:r>
    </w:p>
    <w:p w14:paraId="3A8567AA"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5. En los procedimientos de concesión y autorización de actividades económicas promovidas por la administración gestora del monte que vayan a realizarse en montes demaniales, sin perjuicio de lo dispuesto en la regulación de los montes comunales, se respetarán los principios de publicidad, objetividad, imparcialidad y transparencia. Se aplicará además el principio de concurrencia competitiva conforme a los instrumentos o directrices de planificación y gestión del mismo en los siguientes supuestos:</w:t>
      </w:r>
    </w:p>
    <w:p w14:paraId="2AE6A7E5"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a) cuando se trate de una actividad de servicios que se promueva por la administración gestora del monte.</w:t>
      </w:r>
    </w:p>
    <w:p w14:paraId="6DC3CC70"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b) cuando el ejercicio de la actividad excluya el ejercicio de otras actividades por terceros.</w:t>
      </w:r>
    </w:p>
    <w:p w14:paraId="0B86D323"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Los criterios en que se basará la concesión y autorización para la realización de actividades de servicios estarán directamente vinculados a lo dispuesto en los instrumentos o directrices de planificación y gestión del monte.</w:t>
      </w:r>
    </w:p>
    <w:p w14:paraId="4E5E8F4D"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La duración de dichas autorizaciones y concesiones será como máximo de 75 años, de acuerdo con sus características, y no dará lugar a renovación automática ni a ventajas a favor del anterior titular o personas vinculadas con él.</w:t>
      </w:r>
    </w:p>
    <w:p w14:paraId="1CAC4F8C"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xml:space="preserve">Artículo 18: Efectos jurídicos de la inclusión de los montes en el Catálogo de Montes de Utilidad Pública </w:t>
      </w:r>
    </w:p>
    <w:p w14:paraId="197467C8"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xml:space="preserve">(…) 4. Cuando un monte catalogado se halle </w:t>
      </w:r>
      <w:r w:rsidRPr="001F1B81">
        <w:rPr>
          <w:rFonts w:ascii="HP Simplified" w:hAnsi="HP Simplified" w:cstheme="minorHAnsi"/>
          <w:i/>
          <w:sz w:val="24"/>
          <w:szCs w:val="24"/>
          <w:u w:val="single"/>
        </w:rPr>
        <w:t>afectado por un expediente del cual pueda derivarse otra declaración de demanialidad distinta de la forestal, y sin perjuicio de lo que, en su caso, disponga la declaración de impacto ambiental, las Administraciones competentes buscarán cauces de cooperación al objeto de determinar cuál de tales declaraciones debe prevalecer.</w:t>
      </w:r>
    </w:p>
    <w:p w14:paraId="21BE26CB"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En el supuesto de discrepancia entre las Administraciones, resolverá, según la Administración que haya tramitado el expediente, el Consejo de Ministros o el órgano que la comunidad autónoma determine. En el caso de que ambas fueran compatibles, la Administración que haya gestionado el expediente tramitará, en pieza separada, un expediente de concurrencia, para armonizar el doble carácter demanial.</w:t>
      </w:r>
    </w:p>
    <w:p w14:paraId="16E309FF" w14:textId="77777777" w:rsidR="003042C8" w:rsidRPr="001F1B81" w:rsidRDefault="003042C8" w:rsidP="003042C8">
      <w:pPr>
        <w:spacing w:before="120" w:after="120"/>
        <w:jc w:val="both"/>
        <w:rPr>
          <w:rFonts w:ascii="HP Simplified" w:hAnsi="HP Simplified" w:cstheme="minorHAnsi"/>
          <w:i/>
          <w:sz w:val="24"/>
          <w:szCs w:val="24"/>
          <w:u w:val="single"/>
        </w:rPr>
      </w:pPr>
      <w:r w:rsidRPr="001F1B81">
        <w:rPr>
          <w:rFonts w:ascii="HP Simplified" w:hAnsi="HP Simplified" w:cstheme="minorHAnsi"/>
          <w:i/>
          <w:sz w:val="24"/>
          <w:szCs w:val="24"/>
          <w:u w:val="single"/>
        </w:rPr>
        <w:t>Cuando se trate de montes afectados por obras o actuaciones de interés general del Estado, resolverá el Consejo de Ministros, oída la comunidad autónoma afectada.”</w:t>
      </w:r>
    </w:p>
    <w:p w14:paraId="1F0343B8"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 xml:space="preserve">La resolución de autorización reconoce que </w:t>
      </w:r>
      <w:r w:rsidRPr="00771B29">
        <w:rPr>
          <w:rFonts w:ascii="HP Simplified" w:hAnsi="HP Simplified" w:cstheme="minorHAnsi"/>
          <w:i/>
          <w:color w:val="404040" w:themeColor="text1" w:themeTint="BF"/>
          <w:sz w:val="24"/>
          <w:szCs w:val="24"/>
        </w:rPr>
        <w:t xml:space="preserve">“Con carácter previo a la realización de las actividades previstas deberá solicitarse la correspondiente </w:t>
      </w:r>
      <w:r w:rsidRPr="00771B29">
        <w:rPr>
          <w:rFonts w:ascii="HP Simplified" w:hAnsi="HP Simplified" w:cstheme="minorHAnsi"/>
          <w:b/>
          <w:i/>
          <w:color w:val="404040" w:themeColor="text1" w:themeTint="BF"/>
          <w:sz w:val="24"/>
          <w:szCs w:val="24"/>
        </w:rPr>
        <w:t>autorización de uso privativo en Monte de Utilidad Pública</w:t>
      </w:r>
      <w:r w:rsidRPr="00771B29">
        <w:rPr>
          <w:rFonts w:ascii="HP Simplified" w:hAnsi="HP Simplified" w:cstheme="minorHAnsi"/>
          <w:i/>
          <w:color w:val="404040" w:themeColor="text1" w:themeTint="BF"/>
          <w:sz w:val="24"/>
          <w:szCs w:val="24"/>
        </w:rPr>
        <w:t xml:space="preserve">, de conformidad con lo dispuesto en los artículos 61 a 69 de la Ley 3/2009 de Montes de castilla y León. La competencia para </w:t>
      </w:r>
      <w:r w:rsidRPr="00771B29">
        <w:rPr>
          <w:rFonts w:ascii="HP Simplified" w:hAnsi="HP Simplified" w:cstheme="minorHAnsi"/>
          <w:i/>
          <w:color w:val="404040" w:themeColor="text1" w:themeTint="BF"/>
          <w:sz w:val="24"/>
          <w:szCs w:val="24"/>
        </w:rPr>
        <w:lastRenderedPageBreak/>
        <w:t xml:space="preserve">dicha autorización corresponde al Servicio Territorial de Medio ambiente de León, </w:t>
      </w:r>
      <w:r w:rsidRPr="00771B29">
        <w:rPr>
          <w:rFonts w:ascii="HP Simplified" w:hAnsi="HP Simplified" w:cstheme="minorHAnsi"/>
          <w:b/>
          <w:i/>
          <w:color w:val="404040" w:themeColor="text1" w:themeTint="BF"/>
          <w:sz w:val="24"/>
          <w:szCs w:val="24"/>
        </w:rPr>
        <w:t>previo informe, en su caso, de la entidad propietaria</w:t>
      </w:r>
      <w:r w:rsidRPr="00771B29">
        <w:rPr>
          <w:rFonts w:ascii="HP Simplified" w:hAnsi="HP Simplified" w:cstheme="minorHAnsi"/>
          <w:color w:val="404040" w:themeColor="text1" w:themeTint="BF"/>
          <w:sz w:val="24"/>
          <w:szCs w:val="24"/>
        </w:rPr>
        <w:t>.”</w:t>
      </w:r>
    </w:p>
    <w:p w14:paraId="5B49B9A4"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Además, los MUP han sido declarados como tales por satisfacer necesidades de interés general, al desempeñar, preferentemente, funciones de carácter protector, social o ambiental. Se entienden como funciones de protección las relativas a:</w:t>
      </w:r>
    </w:p>
    <w:p w14:paraId="3663B394" w14:textId="77777777" w:rsidR="003042C8" w:rsidRPr="00771B29" w:rsidRDefault="003042C8" w:rsidP="003042C8">
      <w:pPr>
        <w:pStyle w:val="Prrafodelista"/>
        <w:numPr>
          <w:ilvl w:val="0"/>
          <w:numId w:val="39"/>
        </w:numPr>
        <w:autoSpaceDE w:val="0"/>
        <w:autoSpaceDN w:val="0"/>
        <w:adjustRightInd w:val="0"/>
        <w:spacing w:before="120" w:after="120" w:line="240" w:lineRule="auto"/>
        <w:contextualSpacing w:val="0"/>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la regeneración de suelos y la lucha contra la erosión</w:t>
      </w:r>
    </w:p>
    <w:p w14:paraId="29ECF6EE" w14:textId="77777777" w:rsidR="003042C8" w:rsidRPr="00771B29" w:rsidRDefault="003042C8" w:rsidP="003042C8">
      <w:pPr>
        <w:pStyle w:val="Prrafodelista"/>
        <w:numPr>
          <w:ilvl w:val="0"/>
          <w:numId w:val="39"/>
        </w:numPr>
        <w:autoSpaceDE w:val="0"/>
        <w:autoSpaceDN w:val="0"/>
        <w:adjustRightInd w:val="0"/>
        <w:spacing w:before="120" w:after="120" w:line="240" w:lineRule="auto"/>
        <w:contextualSpacing w:val="0"/>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la captación, protección y conservación de los recursos hídricos</w:t>
      </w:r>
    </w:p>
    <w:p w14:paraId="02C9CADA" w14:textId="77777777" w:rsidR="003042C8" w:rsidRPr="00771B29" w:rsidRDefault="003042C8" w:rsidP="003042C8">
      <w:pPr>
        <w:pStyle w:val="Prrafodelista"/>
        <w:numPr>
          <w:ilvl w:val="0"/>
          <w:numId w:val="39"/>
        </w:numPr>
        <w:autoSpaceDE w:val="0"/>
        <w:autoSpaceDN w:val="0"/>
        <w:adjustRightInd w:val="0"/>
        <w:spacing w:before="120" w:after="120" w:line="240" w:lineRule="auto"/>
        <w:contextualSpacing w:val="0"/>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la protección de la fauna y flora</w:t>
      </w:r>
    </w:p>
    <w:p w14:paraId="1277BE20" w14:textId="77777777" w:rsidR="003042C8" w:rsidRPr="00771B29" w:rsidRDefault="003042C8" w:rsidP="003042C8">
      <w:pPr>
        <w:pStyle w:val="Prrafodelista"/>
        <w:numPr>
          <w:ilvl w:val="0"/>
          <w:numId w:val="39"/>
        </w:numPr>
        <w:autoSpaceDE w:val="0"/>
        <w:autoSpaceDN w:val="0"/>
        <w:adjustRightInd w:val="0"/>
        <w:spacing w:before="120" w:after="120" w:line="240" w:lineRule="auto"/>
        <w:contextualSpacing w:val="0"/>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el mantenimiento de los equilibrios ecológicos y sistemas vitales esenciales</w:t>
      </w:r>
    </w:p>
    <w:p w14:paraId="16C59C8F" w14:textId="77777777" w:rsidR="003042C8" w:rsidRPr="00771B29" w:rsidRDefault="003042C8" w:rsidP="003042C8">
      <w:pPr>
        <w:pStyle w:val="Prrafodelista"/>
        <w:numPr>
          <w:ilvl w:val="0"/>
          <w:numId w:val="39"/>
        </w:numPr>
        <w:autoSpaceDE w:val="0"/>
        <w:autoSpaceDN w:val="0"/>
        <w:adjustRightInd w:val="0"/>
        <w:spacing w:before="120" w:after="120" w:line="240" w:lineRule="auto"/>
        <w:contextualSpacing w:val="0"/>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la preservación de la diversidad genética y del paisaje.</w:t>
      </w:r>
    </w:p>
    <w:p w14:paraId="3613D6A4"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 xml:space="preserve">Al tratarse realmente de montes con utilidad pública de protección, conservación y otras funciones ambientales que previenen la erosión, inundaciones, etc, se da una incompatibilidad de este complejo industrial eólico con estos factores protectores del monte, y con la provisión de servicios ecosistémicos; máxime cuando la Declaración de Impacto Ambiental (DIA) afirma que “Debido al alto número de incendios de la zona (especialmente en invierno-primavera) y por las limitaciones de actuación de cara a los medios aéreos que implican estas infraestructuras, se mantendrá libre de vegetación arbustiva y arbórea una franja de unos 10 m a ambos lados de los viales que unen los distintos aerogeneradores, así como de sus plataformas. El alto número de viales plataformas e infraestructuras es incompatible con la masa arbórea, que se verá muy mermada con esta medida, cuando se trata de un demanio público con las utilidades públicas citadas. Además, la ley previene el uso de estas zonas quemadas antes de su restauración. Según el artículo 29 de la Ley 3/2009, de 6 de abril, de Montes de Castilla y León: </w:t>
      </w:r>
    </w:p>
    <w:p w14:paraId="321E305D"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color w:val="404040" w:themeColor="text1" w:themeTint="BF"/>
          <w:sz w:val="24"/>
          <w:szCs w:val="24"/>
        </w:rPr>
        <w:t>“</w:t>
      </w:r>
      <w:r w:rsidRPr="00771B29">
        <w:rPr>
          <w:rFonts w:ascii="HP Simplified" w:hAnsi="HP Simplified" w:cstheme="minorHAnsi"/>
          <w:i/>
          <w:color w:val="404040" w:themeColor="text1" w:themeTint="BF"/>
          <w:sz w:val="24"/>
          <w:szCs w:val="24"/>
        </w:rPr>
        <w:t>2. Queda prohibido el cambio de uso forestal de los montes afectados por incendios durante un plazo de treinta años.</w:t>
      </w:r>
    </w:p>
    <w:p w14:paraId="4B323102"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3. Se prohíbe la modificación de la clasificación urbanística de los montes afectados por incendios durante el plazo de treinta años.”</w:t>
      </w:r>
    </w:p>
    <w:p w14:paraId="5F8EEFAB"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color w:val="404040" w:themeColor="text1" w:themeTint="BF"/>
          <w:sz w:val="24"/>
          <w:szCs w:val="24"/>
        </w:rPr>
        <w:t xml:space="preserve">Como enuncia la Resolución recurrida en el anexo de su DIA: </w:t>
      </w:r>
      <w:r w:rsidRPr="00771B29">
        <w:rPr>
          <w:rFonts w:ascii="HP Simplified" w:hAnsi="HP Simplified" w:cstheme="minorHAnsi"/>
          <w:i/>
          <w:color w:val="404040" w:themeColor="text1" w:themeTint="BF"/>
          <w:sz w:val="24"/>
          <w:szCs w:val="24"/>
        </w:rPr>
        <w:t xml:space="preserve">“Ante declaraciones de situaciones de alerta, alarma y alarma extrema por </w:t>
      </w:r>
      <w:r w:rsidRPr="00771B29">
        <w:rPr>
          <w:rFonts w:ascii="HP Simplified" w:hAnsi="HP Simplified" w:cstheme="minorHAnsi"/>
          <w:i/>
          <w:color w:val="404040" w:themeColor="text1" w:themeTint="BF"/>
          <w:sz w:val="24"/>
          <w:szCs w:val="24"/>
          <w:u w:val="single"/>
        </w:rPr>
        <w:t>riesgo meteorológico de incendios forestales</w:t>
      </w:r>
      <w:r w:rsidRPr="00771B29">
        <w:rPr>
          <w:rFonts w:ascii="HP Simplified" w:hAnsi="HP Simplified" w:cstheme="minorHAnsi"/>
          <w:i/>
          <w:color w:val="404040" w:themeColor="text1" w:themeTint="BF"/>
          <w:sz w:val="24"/>
          <w:szCs w:val="24"/>
        </w:rPr>
        <w:t xml:space="preserve">, la actividad objeto de la presente declaración de impacto ambiental podría verse condicionada en función del grado de prohibición o limitación de aquellas </w:t>
      </w:r>
      <w:r w:rsidRPr="00771B29">
        <w:rPr>
          <w:rFonts w:ascii="HP Simplified" w:hAnsi="HP Simplified" w:cstheme="minorHAnsi"/>
          <w:i/>
          <w:color w:val="404040" w:themeColor="text1" w:themeTint="BF"/>
          <w:sz w:val="24"/>
          <w:szCs w:val="24"/>
          <w:u w:val="single"/>
        </w:rPr>
        <w:t>actividades que conlleven el uso de maquinaria o elementos cuya utilización genere o pueda generar deflagración, chispas o descargas eléctricas</w:t>
      </w:r>
      <w:r w:rsidRPr="00771B29">
        <w:rPr>
          <w:rFonts w:ascii="HP Simplified" w:hAnsi="HP Simplified" w:cstheme="minorHAnsi"/>
          <w:i/>
          <w:color w:val="404040" w:themeColor="text1" w:themeTint="BF"/>
          <w:sz w:val="24"/>
          <w:szCs w:val="24"/>
        </w:rPr>
        <w:t xml:space="preserve">, tanto en el monte como en los terrenos situados en la franja de </w:t>
      </w:r>
      <w:r w:rsidRPr="00771B29">
        <w:rPr>
          <w:rFonts w:ascii="HP Simplified" w:hAnsi="HP Simplified" w:cstheme="minorHAnsi"/>
          <w:i/>
          <w:color w:val="404040" w:themeColor="text1" w:themeTint="BF"/>
          <w:sz w:val="24"/>
          <w:szCs w:val="24"/>
          <w:u w:val="single"/>
        </w:rPr>
        <w:t>400 metros</w:t>
      </w:r>
      <w:r w:rsidRPr="00771B29">
        <w:rPr>
          <w:rFonts w:ascii="HP Simplified" w:hAnsi="HP Simplified" w:cstheme="minorHAnsi"/>
          <w:i/>
          <w:color w:val="404040" w:themeColor="text1" w:themeTint="BF"/>
          <w:sz w:val="24"/>
          <w:szCs w:val="24"/>
        </w:rPr>
        <w:t xml:space="preserve"> de ancho que lo circunda.”</w:t>
      </w:r>
      <w:r w:rsidRPr="00771B29">
        <w:rPr>
          <w:rFonts w:ascii="HP Simplified" w:hAnsi="HP Simplified" w:cstheme="minorHAnsi"/>
          <w:color w:val="404040" w:themeColor="text1" w:themeTint="BF"/>
          <w:sz w:val="24"/>
          <w:szCs w:val="24"/>
        </w:rPr>
        <w:t xml:space="preserve"> Y esta prevención debería tener carácter permanente pues los riesgos no han sido cuantificados, ni valorados adecuadamente, por un EsIA extremadamente deficiente, y las situaciones de alerta o alarma sobrevendrán sin haber estado convenientemente previstas, no siendo estas infraestructuras, desafortunadamente, de quita y pon al momento de la alarma. La incompatibilidad con la utilidad de los citados MUP como monte protector es patente desde el momento en que el proyecto requiere de la ejecución de 8.421metros de infraestructuras viales, correspondientes al acceso al parque eólico y a la red de viales internos, que deberán ser de al menos 6 metros de anchura, con una gruesa cimentación para soportar transportes más de 100 Tm (como </w:t>
      </w:r>
      <w:r w:rsidRPr="00771B29">
        <w:rPr>
          <w:rFonts w:ascii="HP Simplified" w:hAnsi="HP Simplified" w:cstheme="minorHAnsi"/>
          <w:color w:val="404040" w:themeColor="text1" w:themeTint="BF"/>
          <w:sz w:val="24"/>
          <w:szCs w:val="24"/>
        </w:rPr>
        <w:lastRenderedPageBreak/>
        <w:t>se recoge en proyectos similares), y no de las dimensiones que pretende el proyecto, ni de su cuantía (6.102 m según el presupuesto). Se deberán realizar asimismo 9 kilómetros de zanjas para soterrar las conducciones eléctricas entre los aerogeneradores y la subestación eléctrica del parque, lo que implica el acceso y el trabajo de maquinaria pesada para llevarlas a cabo. Esto afectará irremediablemente modificando la escorrentía como la propia resolución reconoce y comentamos más adelante. Se añade a todo esto el que para la evacuación de la producción eléctrica, se tiene que construir una línea de alta tensión de más de 30 kilómetros hasta el nudo de Montearenas, perteneciente a Red Eléctrica Española, mediante una línea de alta tensión, proyecto que aparece también fraccionado en varios expedientes de forma que no se toma en cuenta el impacto sinérgico y acumulado.</w:t>
      </w:r>
    </w:p>
    <w:p w14:paraId="098D5A14" w14:textId="77777777" w:rsidR="003042C8" w:rsidRPr="001F1B81" w:rsidRDefault="003042C8" w:rsidP="003042C8">
      <w:pPr>
        <w:autoSpaceDE w:val="0"/>
        <w:autoSpaceDN w:val="0"/>
        <w:adjustRightInd w:val="0"/>
        <w:spacing w:before="120" w:after="120" w:line="240" w:lineRule="auto"/>
        <w:jc w:val="both"/>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Quinto.-</w:t>
      </w:r>
      <w:r w:rsidRPr="001F1B81">
        <w:rPr>
          <w:rFonts w:ascii="HP Simplified" w:hAnsi="HP Simplified" w:cstheme="minorHAnsi"/>
          <w:sz w:val="24"/>
          <w:szCs w:val="24"/>
        </w:rPr>
        <w:t xml:space="preserve"> La autorización administrativa previa y </w:t>
      </w:r>
      <w:r w:rsidRPr="001F1B81">
        <w:rPr>
          <w:rFonts w:ascii="HP Simplified" w:hAnsi="HP Simplified" w:cstheme="minorHAnsi"/>
          <w:sz w:val="24"/>
          <w:szCs w:val="24"/>
          <w:u w:val="single"/>
        </w:rPr>
        <w:t>autorización administrativa de construcción</w:t>
      </w:r>
      <w:r w:rsidRPr="001F1B81">
        <w:rPr>
          <w:rFonts w:ascii="HP Simplified" w:hAnsi="HP Simplified" w:cstheme="minorHAnsi"/>
          <w:sz w:val="24"/>
          <w:szCs w:val="24"/>
        </w:rPr>
        <w:t xml:space="preserve"> que trata de resolverse en este procedimiento, de facto no han sido resueltas, dado que las cuestiones planteadas dependen de otros expedientes debido a la fragmentación y por la</w:t>
      </w:r>
      <w:r w:rsidRPr="001F1B81">
        <w:rPr>
          <w:rFonts w:ascii="HP Simplified" w:eastAsia="Times New Roman" w:hAnsi="HP Simplified" w:cstheme="minorHAnsi"/>
          <w:b/>
          <w:sz w:val="24"/>
          <w:szCs w:val="24"/>
          <w:lang w:eastAsia="es-ES"/>
        </w:rPr>
        <w:t xml:space="preserve"> carencia de base legal del proyecto, dada la normativa urbanística, para plantear un uso del suelo rústico que tiene carácter excepcional.</w:t>
      </w:r>
    </w:p>
    <w:p w14:paraId="0EC55469"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color w:val="404040" w:themeColor="text1" w:themeTint="BF"/>
          <w:sz w:val="24"/>
          <w:szCs w:val="24"/>
        </w:rPr>
        <w:t>Según la propia DIA respecto la “</w:t>
      </w:r>
      <w:r w:rsidRPr="00771B29">
        <w:rPr>
          <w:rFonts w:ascii="HP Simplified" w:hAnsi="HP Simplified" w:cstheme="minorHAnsi"/>
          <w:i/>
          <w:color w:val="404040" w:themeColor="text1" w:themeTint="BF"/>
          <w:sz w:val="24"/>
          <w:szCs w:val="24"/>
        </w:rPr>
        <w:t>Compatibilidad urbanística. De acuerdo con el informe del de Movilidad y Transformación Digital de León, informa que los terrenos afectados están situados en los términos municipales de Brazuelo y Villagatón, siendo de aplicación las siguientes normas urbanísticas:</w:t>
      </w:r>
    </w:p>
    <w:p w14:paraId="4343FAE3"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i/>
          <w:color w:val="404040" w:themeColor="text1" w:themeTint="BF"/>
          <w:sz w:val="24"/>
          <w:szCs w:val="24"/>
        </w:rPr>
      </w:pPr>
      <w:r w:rsidRPr="00771B29">
        <w:rPr>
          <w:rFonts w:ascii="HP Simplified" w:hAnsi="HP Simplified" w:cstheme="minorHAnsi"/>
          <w:i/>
          <w:color w:val="404040" w:themeColor="text1" w:themeTint="BF"/>
          <w:sz w:val="24"/>
          <w:szCs w:val="24"/>
        </w:rPr>
        <w:t>• Las Normas Subsidiarias de Planeamiento Municipal de Villagatón clasifican el suelo donde discurrirá la instalación como Suelo No Urbanizable Especial Protección Forestal y Suelo No Urbanizable Común.</w:t>
      </w:r>
    </w:p>
    <w:p w14:paraId="21FCBFE4" w14:textId="77777777" w:rsidR="003042C8" w:rsidRPr="00771B29" w:rsidRDefault="003042C8" w:rsidP="003042C8">
      <w:pPr>
        <w:autoSpaceDE w:val="0"/>
        <w:autoSpaceDN w:val="0"/>
        <w:adjustRightInd w:val="0"/>
        <w:spacing w:before="120" w:after="120" w:line="240" w:lineRule="auto"/>
        <w:ind w:firstLine="708"/>
        <w:jc w:val="both"/>
        <w:rPr>
          <w:rFonts w:ascii="HP Simplified" w:hAnsi="HP Simplified" w:cstheme="minorHAnsi"/>
          <w:color w:val="404040" w:themeColor="text1" w:themeTint="BF"/>
          <w:sz w:val="24"/>
          <w:szCs w:val="24"/>
        </w:rPr>
      </w:pPr>
      <w:r w:rsidRPr="00771B29">
        <w:rPr>
          <w:rFonts w:ascii="HP Simplified" w:hAnsi="HP Simplified" w:cstheme="minorHAnsi"/>
          <w:i/>
          <w:color w:val="404040" w:themeColor="text1" w:themeTint="BF"/>
          <w:sz w:val="24"/>
          <w:szCs w:val="24"/>
        </w:rPr>
        <w:t>• Las Normas Subsidiarias de Planeamiento Municipal de Brazuelo, que clasifican el suelo donde discurrirá la instalación como Suelo No Urbanizable Especial Protección Forestal.”</w:t>
      </w:r>
    </w:p>
    <w:p w14:paraId="785A571B" w14:textId="77777777" w:rsidR="003042C8" w:rsidRPr="001F1B81" w:rsidRDefault="003042C8" w:rsidP="003042C8">
      <w:pPr>
        <w:autoSpaceDE w:val="0"/>
        <w:autoSpaceDN w:val="0"/>
        <w:adjustRightInd w:val="0"/>
        <w:spacing w:before="120" w:after="120" w:line="240" w:lineRule="auto"/>
        <w:ind w:firstLine="708"/>
        <w:jc w:val="both"/>
        <w:rPr>
          <w:rFonts w:ascii="HP Simplified" w:hAnsi="HP Simplified" w:cstheme="minorHAnsi"/>
          <w:sz w:val="24"/>
          <w:szCs w:val="24"/>
        </w:rPr>
      </w:pPr>
      <w:r w:rsidRPr="001F1B81">
        <w:rPr>
          <w:rFonts w:ascii="HP Simplified" w:hAnsi="HP Simplified" w:cstheme="minorHAnsi"/>
          <w:sz w:val="24"/>
          <w:szCs w:val="24"/>
        </w:rPr>
        <w:t xml:space="preserve">Existen sentencias que supeditan el otorgamiento de la autorización administrativa de construcción al otorgamiento de licencia urbanística por parte de los ayuntamientos afectados </w:t>
      </w:r>
      <w:r w:rsidRPr="001F1B81">
        <w:rPr>
          <w:rFonts w:ascii="HP Simplified" w:hAnsi="HP Simplified" w:cstheme="minorHAnsi"/>
          <w:color w:val="000000" w:themeColor="text1"/>
          <w:sz w:val="24"/>
          <w:szCs w:val="24"/>
        </w:rPr>
        <w:t>(STS 4107/2021 de 28 de octubre y STS 4110/2021, de 29 de octubre).</w:t>
      </w:r>
    </w:p>
    <w:p w14:paraId="3CCC9960" w14:textId="77777777" w:rsidR="003042C8" w:rsidRPr="001F1B81" w:rsidRDefault="003042C8" w:rsidP="003042C8">
      <w:pPr>
        <w:spacing w:before="120" w:after="120"/>
        <w:ind w:firstLine="708"/>
        <w:jc w:val="both"/>
        <w:rPr>
          <w:rFonts w:ascii="HP Simplified" w:hAnsi="HP Simplified" w:cstheme="minorHAnsi"/>
          <w:i/>
          <w:sz w:val="24"/>
          <w:szCs w:val="24"/>
        </w:rPr>
      </w:pPr>
      <w:r w:rsidRPr="001F1B81">
        <w:rPr>
          <w:rFonts w:ascii="HP Simplified" w:hAnsi="HP Simplified" w:cstheme="minorHAnsi"/>
          <w:sz w:val="24"/>
          <w:szCs w:val="24"/>
        </w:rPr>
        <w:t xml:space="preserve">Por otro lado, el </w:t>
      </w:r>
      <w:r w:rsidRPr="001F1B81">
        <w:rPr>
          <w:rFonts w:ascii="HP Simplified" w:hAnsi="HP Simplified" w:cstheme="minorHAnsi"/>
          <w:b/>
          <w:sz w:val="24"/>
          <w:szCs w:val="24"/>
        </w:rPr>
        <w:t xml:space="preserve">Real Decreto Legislativo 7/2015, de 30 de octubre, por el que se aprueba el </w:t>
      </w:r>
      <w:r w:rsidRPr="001F1B81">
        <w:rPr>
          <w:rFonts w:ascii="HP Simplified" w:hAnsi="HP Simplified" w:cstheme="minorHAnsi"/>
          <w:b/>
          <w:i/>
          <w:sz w:val="24"/>
          <w:szCs w:val="24"/>
        </w:rPr>
        <w:t>texto refundido de la Ley de Suelo y Rehabilitación Urbana</w:t>
      </w:r>
      <w:r w:rsidRPr="001F1B81">
        <w:rPr>
          <w:rFonts w:ascii="HP Simplified" w:hAnsi="HP Simplified" w:cstheme="minorHAnsi"/>
          <w:i/>
          <w:sz w:val="24"/>
          <w:szCs w:val="24"/>
        </w:rPr>
        <w:t>, establece en su Artículo 20. “Criterios básicos de utilización del suelo.</w:t>
      </w:r>
    </w:p>
    <w:p w14:paraId="1024C761"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1. Para hacer efectivos los principios y los derechos y deberes enunciados en el título preliminar y en el título I, respectivamente, las Administraciones Públicas, y en particular las competentes en materia de ordenación territorial y urbanística deberán:</w:t>
      </w:r>
    </w:p>
    <w:p w14:paraId="6E017CFF"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A) Atribuir en la ordenación territorial y urbanística un destino que comporte o posibilite el paso de la situación de suelo rural a la de suelo urbanizado, mediante la urbanización, al suelo preciso para satisfacer las necesidades que lo justifiquen, impedir la especulación con él y preservar de la urbanización al resto del suelo rural.</w:t>
      </w:r>
    </w:p>
    <w:p w14:paraId="4A253BA5"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B) Destinar suelo adecuado y suficiente para usos productivos y para uso residencial, con reserva en todo caso de una parte proporcionada a vivienda sujeta a un régimen de protección pública que, al menos, permita establecer su precio máximo en venta, alquiler u otras formas de acceso a la vivienda, como el derecho de superficie o la concesión administrativa. (…)</w:t>
      </w:r>
    </w:p>
    <w:p w14:paraId="116E1045"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lastRenderedPageBreak/>
        <w:t>C) Atender, teniendo en cuenta la perspectiva de género, en la ordenación de los usos del suelo, a los principios de accesibilidad universal, de movilidad, de eficiencia energética, de garantía de suministro de agua, de prevención de riesgos naturales y de accidentes graves, de prevención y protección contra la contaminación y limitación de sus consecuencias para la salud o el medio ambiente.</w:t>
      </w:r>
    </w:p>
    <w:p w14:paraId="4672ED0D"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En la consideración del principio de prevención de riesgos naturales y accidentes graves en la ordenación de los usos del suelo, se incluirán los riesgos derivados del cambio climático</w:t>
      </w:r>
      <w:r w:rsidRPr="001F1B81">
        <w:rPr>
          <w:rFonts w:ascii="HP Simplified" w:hAnsi="HP Simplified" w:cstheme="minorHAnsi"/>
          <w:sz w:val="24"/>
          <w:szCs w:val="24"/>
        </w:rPr>
        <w:t xml:space="preserve">, </w:t>
      </w:r>
      <w:r w:rsidRPr="001F1B81">
        <w:rPr>
          <w:rFonts w:ascii="HP Simplified" w:hAnsi="HP Simplified" w:cstheme="minorHAnsi"/>
          <w:i/>
          <w:sz w:val="24"/>
          <w:szCs w:val="24"/>
        </w:rPr>
        <w:t>entre ellos:</w:t>
      </w:r>
    </w:p>
    <w:p w14:paraId="41FCD83A"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a) Riesgos derivados de los embates marinos, inundaciones costeras y ascenso del nivel del mar.</w:t>
      </w:r>
    </w:p>
    <w:p w14:paraId="1BFFEE02"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b) Riesgos derivados de eventos meteorológicos extremos sobre las infraestructuras y los servicios públicos esenciales, como el abastecimiento de agua y electricidad o los servicios de emergencias.</w:t>
      </w:r>
    </w:p>
    <w:p w14:paraId="445A7A66"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c) Riesgos de mortalidad y morbilidad derivados de las altas temperaturas y, en particular, aquellos que afectan a poblaciones vulnerables. Estos datos se ofrecerán desagregados por sexo.</w:t>
      </w:r>
    </w:p>
    <w:p w14:paraId="5E167352"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d) Riesgos asociados a la pérdida de ecosistemas y biodiversidad y, en particular, de deterioro o pérdida de bienes, funciones y servicios ecosistémicos esenciales.</w:t>
      </w:r>
    </w:p>
    <w:p w14:paraId="1E52E995" w14:textId="77777777" w:rsidR="003042C8" w:rsidRPr="001F1B81" w:rsidRDefault="003042C8" w:rsidP="003042C8">
      <w:pPr>
        <w:spacing w:before="120" w:after="120"/>
        <w:ind w:firstLine="709"/>
        <w:jc w:val="both"/>
        <w:rPr>
          <w:rFonts w:ascii="HP Simplified" w:hAnsi="HP Simplified" w:cstheme="minorHAnsi"/>
          <w:sz w:val="24"/>
          <w:szCs w:val="24"/>
        </w:rPr>
      </w:pPr>
      <w:r w:rsidRPr="001F1B81">
        <w:rPr>
          <w:rFonts w:ascii="HP Simplified" w:hAnsi="HP Simplified" w:cstheme="minorHAnsi"/>
          <w:i/>
          <w:sz w:val="24"/>
          <w:szCs w:val="24"/>
        </w:rPr>
        <w:t>e) Riesgos de incendios, con especial atención a los riesgos en la interfaz urbano-forestal y entre las infraestructuras y las zonas forestales.”</w:t>
      </w:r>
      <w:r w:rsidRPr="001F1B81">
        <w:rPr>
          <w:rFonts w:ascii="HP Simplified" w:hAnsi="HP Simplified" w:cstheme="minorHAnsi"/>
          <w:sz w:val="24"/>
          <w:szCs w:val="24"/>
        </w:rPr>
        <w:t xml:space="preserve"> (Este apartado C es modificación por la disposición final 4 de la Ley 7/2021, de 20 de mayo).</w:t>
      </w:r>
    </w:p>
    <w:p w14:paraId="6DD7B5F8"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sz w:val="24"/>
          <w:szCs w:val="24"/>
        </w:rPr>
        <w:t>Y por el Artículo 55</w:t>
      </w:r>
      <w:r>
        <w:rPr>
          <w:rFonts w:ascii="HP Simplified" w:hAnsi="HP Simplified" w:cstheme="minorHAnsi"/>
          <w:sz w:val="24"/>
          <w:szCs w:val="24"/>
        </w:rPr>
        <w:t xml:space="preserve"> </w:t>
      </w:r>
      <w:r w:rsidRPr="001F1B81">
        <w:rPr>
          <w:rFonts w:ascii="HP Simplified" w:hAnsi="HP Simplified" w:cstheme="minorHAnsi"/>
          <w:sz w:val="24"/>
          <w:szCs w:val="24"/>
        </w:rPr>
        <w:t>serán</w:t>
      </w:r>
      <w:r>
        <w:rPr>
          <w:rFonts w:ascii="HP Simplified" w:hAnsi="HP Simplified" w:cstheme="minorHAnsi"/>
          <w:sz w:val="24"/>
          <w:szCs w:val="24"/>
        </w:rPr>
        <w:t xml:space="preserve"> </w:t>
      </w:r>
      <w:r w:rsidRPr="001F1B81">
        <w:rPr>
          <w:rFonts w:ascii="HP Simplified" w:hAnsi="HP Simplified" w:cstheme="minorHAnsi"/>
          <w:sz w:val="24"/>
          <w:szCs w:val="24"/>
        </w:rPr>
        <w:t>“</w:t>
      </w:r>
      <w:r w:rsidRPr="001F1B81">
        <w:rPr>
          <w:rFonts w:ascii="HP Simplified" w:hAnsi="HP Simplified" w:cstheme="minorHAnsi"/>
          <w:i/>
          <w:sz w:val="24"/>
          <w:szCs w:val="24"/>
        </w:rPr>
        <w:t>Actos nulos de pleno derecho.</w:t>
      </w:r>
    </w:p>
    <w:p w14:paraId="076CD7D2" w14:textId="77777777" w:rsidR="003042C8" w:rsidRPr="001F1B81" w:rsidRDefault="003042C8" w:rsidP="003042C8">
      <w:pPr>
        <w:spacing w:before="120" w:after="120"/>
        <w:ind w:firstLine="709"/>
        <w:jc w:val="both"/>
        <w:rPr>
          <w:rFonts w:ascii="HP Simplified" w:hAnsi="HP Simplified" w:cstheme="minorHAnsi"/>
          <w:i/>
          <w:sz w:val="24"/>
          <w:szCs w:val="24"/>
        </w:rPr>
      </w:pPr>
      <w:r w:rsidRPr="001F1B81">
        <w:rPr>
          <w:rFonts w:ascii="HP Simplified" w:hAnsi="HP Simplified" w:cstheme="minorHAnsi"/>
          <w:i/>
          <w:sz w:val="24"/>
          <w:szCs w:val="24"/>
        </w:rPr>
        <w:t>Serán nulos de pleno derecho los actos administrativos de intervención que se dicten con infracción de la ordenación de las zonas verdes o espacios libres previstos en los instrumentos de ordenación urbanística. Mientras las obras estén en curso de ejecución, se procederá a la suspensión de los efectos del acto administrativo legitimador y a la adopción de las demás medidas que procedan. Si las obras estuvieren terminadas, se procederá a su revisión de oficio por los trámites previstos en la legislación de procedimiento administrativo común.</w:t>
      </w:r>
    </w:p>
    <w:p w14:paraId="75A035FA" w14:textId="77777777" w:rsidR="003042C8" w:rsidRPr="001F1B81" w:rsidRDefault="003042C8" w:rsidP="003042C8">
      <w:pPr>
        <w:spacing w:before="120" w:after="120"/>
        <w:ind w:firstLine="709"/>
        <w:jc w:val="both"/>
        <w:rPr>
          <w:rFonts w:ascii="HP Simplified" w:eastAsia="Arial Unicode MS" w:hAnsi="HP Simplified" w:cstheme="minorHAnsi"/>
          <w:i/>
          <w:color w:val="000000"/>
          <w:sz w:val="24"/>
          <w:szCs w:val="24"/>
        </w:rPr>
      </w:pPr>
      <w:r w:rsidRPr="001F1B81">
        <w:rPr>
          <w:rFonts w:ascii="HP Simplified" w:eastAsia="Arial Unicode MS" w:hAnsi="HP Simplified" w:cstheme="minorHAnsi"/>
          <w:i/>
          <w:color w:val="000000"/>
          <w:sz w:val="24"/>
          <w:szCs w:val="24"/>
        </w:rPr>
        <w:t>Real Decreto Legislativo 7/2015, de 30 de octubre, por el que se aprueba el texto refundido de la Ley de Suelo y Rehabilitación Urbana. Disposición adicional sexta. Suelos forestales incendiados.</w:t>
      </w:r>
    </w:p>
    <w:p w14:paraId="1E43BBD9" w14:textId="77777777" w:rsidR="003042C8" w:rsidRPr="001F1B81" w:rsidRDefault="003042C8" w:rsidP="003042C8">
      <w:pPr>
        <w:spacing w:before="120" w:after="120"/>
        <w:ind w:firstLine="709"/>
        <w:jc w:val="both"/>
        <w:rPr>
          <w:rFonts w:ascii="HP Simplified" w:eastAsia="Arial Unicode MS" w:hAnsi="HP Simplified" w:cstheme="minorHAnsi"/>
          <w:i/>
          <w:color w:val="000000"/>
          <w:sz w:val="24"/>
          <w:szCs w:val="24"/>
        </w:rPr>
      </w:pPr>
      <w:r w:rsidRPr="001F1B81">
        <w:rPr>
          <w:rFonts w:ascii="HP Simplified" w:eastAsia="Arial Unicode MS" w:hAnsi="HP Simplified" w:cstheme="minorHAnsi"/>
          <w:i/>
          <w:color w:val="000000"/>
          <w:sz w:val="24"/>
          <w:szCs w:val="24"/>
        </w:rPr>
        <w:t>1. Los terrenos forestales incendiados se mantendrán en la situación de suelo rural a los efectos de esta ley y estarán destinados al uso forestal, al menos durante el plazo previsto en el artículo 50 de la Ley de Montes, con las excepciones en ella previstas.</w:t>
      </w:r>
    </w:p>
    <w:p w14:paraId="278A2968" w14:textId="77777777" w:rsidR="003042C8" w:rsidRPr="001F1B81" w:rsidRDefault="003042C8" w:rsidP="003042C8">
      <w:pPr>
        <w:spacing w:before="120" w:after="120"/>
        <w:ind w:firstLine="709"/>
        <w:jc w:val="both"/>
        <w:rPr>
          <w:rFonts w:ascii="HP Simplified" w:eastAsia="Arial Unicode MS" w:hAnsi="HP Simplified" w:cstheme="minorHAnsi"/>
          <w:i/>
          <w:color w:val="000000"/>
          <w:sz w:val="24"/>
          <w:szCs w:val="24"/>
        </w:rPr>
      </w:pPr>
      <w:r w:rsidRPr="001F1B81">
        <w:rPr>
          <w:rFonts w:ascii="HP Simplified" w:eastAsia="Arial Unicode MS" w:hAnsi="HP Simplified" w:cstheme="minorHAnsi"/>
          <w:i/>
          <w:color w:val="000000"/>
          <w:sz w:val="24"/>
          <w:szCs w:val="24"/>
        </w:rPr>
        <w:t>2. La Administración forestal deberá comunicar al Registro de la Propiedad esta circunstancia, que será inscribible conforme a lo dispuesto por la legislación hipotecaria.</w:t>
      </w:r>
    </w:p>
    <w:p w14:paraId="7A634FBF" w14:textId="77777777" w:rsidR="003042C8" w:rsidRPr="001F1B81" w:rsidRDefault="003042C8" w:rsidP="003042C8">
      <w:pPr>
        <w:spacing w:before="120" w:after="120"/>
        <w:ind w:firstLine="709"/>
        <w:jc w:val="both"/>
        <w:rPr>
          <w:rFonts w:ascii="HP Simplified" w:eastAsia="Arial Unicode MS" w:hAnsi="HP Simplified" w:cstheme="minorHAnsi"/>
          <w:i/>
          <w:color w:val="000000"/>
          <w:sz w:val="24"/>
          <w:szCs w:val="24"/>
        </w:rPr>
      </w:pPr>
      <w:r w:rsidRPr="001F1B81">
        <w:rPr>
          <w:rFonts w:ascii="HP Simplified" w:eastAsia="Arial Unicode MS" w:hAnsi="HP Simplified" w:cstheme="minorHAnsi"/>
          <w:i/>
          <w:color w:val="000000"/>
          <w:sz w:val="24"/>
          <w:szCs w:val="24"/>
        </w:rPr>
        <w:t xml:space="preserve">3. Será título para la inscripción la certificación emitida por la Administración forestal, que contendrá los datos catastrales identificadores de la finca o fincas de que </w:t>
      </w:r>
      <w:r w:rsidRPr="001F1B81">
        <w:rPr>
          <w:rFonts w:ascii="HP Simplified" w:eastAsia="Arial Unicode MS" w:hAnsi="HP Simplified" w:cstheme="minorHAnsi"/>
          <w:i/>
          <w:color w:val="000000"/>
          <w:sz w:val="24"/>
          <w:szCs w:val="24"/>
        </w:rPr>
        <w:lastRenderedPageBreak/>
        <w:t>se trate y se presentará acompañada del plano topográfico de los terrenos forestales incendiados, a escala apropiada.”</w:t>
      </w:r>
    </w:p>
    <w:p w14:paraId="4EF751D7" w14:textId="77777777" w:rsidR="003042C8" w:rsidRPr="001F1B81" w:rsidRDefault="003042C8" w:rsidP="003042C8">
      <w:pPr>
        <w:spacing w:before="120" w:after="120"/>
        <w:ind w:firstLine="709"/>
        <w:jc w:val="both"/>
        <w:rPr>
          <w:rFonts w:ascii="HP Simplified" w:eastAsia="Arial Unicode MS" w:hAnsi="HP Simplified" w:cstheme="minorHAnsi"/>
          <w:color w:val="000000"/>
          <w:sz w:val="24"/>
          <w:szCs w:val="24"/>
        </w:rPr>
      </w:pPr>
      <w:r w:rsidRPr="001F1B81">
        <w:rPr>
          <w:rFonts w:ascii="HP Simplified" w:eastAsia="Arial Unicode MS" w:hAnsi="HP Simplified" w:cstheme="minorHAnsi"/>
          <w:color w:val="000000"/>
          <w:sz w:val="24"/>
          <w:szCs w:val="24"/>
        </w:rPr>
        <w:t>Sin embargo, no se ha incluido este criterio de los terrenos forestales incendiados entre las zonas de exclusión ni en la normativa ni mapa oficial de zonificación de la Junta de Castilla y León, cuando ya acabamos de aclarar que el interés general que se presupone en el caso del despliegue en renovables debe justificarse y satisfacer la condición de proporcionalidad según la propia página web oficial del Congreso, y por Sentencias del Tribunal Constitucional y del Tribunal Supremo.</w:t>
      </w:r>
    </w:p>
    <w:p w14:paraId="010B7DE6" w14:textId="77777777" w:rsidR="003042C8" w:rsidRPr="001F1B81" w:rsidRDefault="003042C8" w:rsidP="003042C8">
      <w:pPr>
        <w:pStyle w:val="Default"/>
        <w:spacing w:before="120" w:after="120"/>
        <w:ind w:firstLine="709"/>
        <w:jc w:val="both"/>
        <w:rPr>
          <w:rFonts w:ascii="HP Simplified" w:eastAsia="Arial Unicode MS" w:hAnsi="HP Simplified" w:cstheme="minorHAnsi"/>
          <w:i/>
        </w:rPr>
      </w:pPr>
      <w:r w:rsidRPr="001F1B81">
        <w:rPr>
          <w:rFonts w:ascii="HP Simplified" w:eastAsia="Arial Unicode MS" w:hAnsi="HP Simplified" w:cstheme="minorHAnsi"/>
          <w:b/>
        </w:rPr>
        <w:t>La Ley 5/1999, de 8 de abril, de Urbanismo de Castilla y León</w:t>
      </w:r>
      <w:r w:rsidRPr="001F1B81">
        <w:rPr>
          <w:rFonts w:ascii="HP Simplified" w:eastAsia="Arial Unicode MS" w:hAnsi="HP Simplified" w:cstheme="minorHAnsi"/>
        </w:rPr>
        <w:t xml:space="preserve"> establece la especial protección que merece el suelo rústico (Artículo 23 y siguientes).En su preámbulo se recoge el espíritu de la ley respecto a lo cual podemos citar textualmente: </w:t>
      </w:r>
      <w:r w:rsidRPr="001F1B81">
        <w:rPr>
          <w:rFonts w:ascii="HP Simplified" w:eastAsia="Arial Unicode MS" w:hAnsi="HP Simplified" w:cstheme="minorHAnsi"/>
          <w:i/>
        </w:rPr>
        <w:t>“Además, aun admitiendo que el territorio se ha configurado históricamente como resultado de complejos procesos sociales, resulta hoy difícil aceptar que su articulación continúe derivándose de la yuxtaposición aleatoria de actuaciones sectoriales y locales que, aunque puedan ser coherentes en sí mismas, carecen de un marco de referencia global. No obstante, estas limitaciones se ven compensadas por valores endógenos como la riqueza de sus espacios naturales y de su patrimonio cultural, lo que permite apoyar en ellos la ordenación territorial de Castilla y León, frente a la usual concepción economicista orientada a la simple distribución de las actividades económicas en el espacio. II. La Ordenación del Territorio ha sido definida en la Carta Europea de 1983 como «la expresión espacial de la política económica, social, cultural y ecológica de toda sociedad», teniendo como objetivos: El desarrollo socioeconómico equilibrado y sostenible; la mejora de la calidad de vida de la población, a través de su acceso al uso de los servicios e infraestructuras públicas y del patrimonio natural y cultural; la gestión responsable de los recursos naturales y la protección del medio ambiente, de forma compatible con la satisfacción de las necesidades crecientes de recursos, así como con el respeto a las peculiaridades locales; y la utilización racional y equilibrada del territorio, mediante la definición de los usos aceptables o a fomentar para cada tipo de suelo, la creación de las adecuadas redes de infraestructuras e incluso el fomento de las actuaciones que mejor persigan el fortalecimiento del espíritu comunitario.”</w:t>
      </w:r>
    </w:p>
    <w:p w14:paraId="30E99D66" w14:textId="77777777" w:rsidR="003042C8" w:rsidRPr="001F1B81" w:rsidRDefault="003042C8" w:rsidP="003042C8">
      <w:pPr>
        <w:pStyle w:val="Default"/>
        <w:spacing w:before="120" w:after="120"/>
        <w:ind w:firstLine="709"/>
        <w:jc w:val="both"/>
        <w:rPr>
          <w:rFonts w:ascii="HP Simplified" w:eastAsia="Arial Unicode MS" w:hAnsi="HP Simplified" w:cstheme="minorHAnsi"/>
          <w:i/>
        </w:rPr>
      </w:pPr>
      <w:r w:rsidRPr="001F1B81">
        <w:rPr>
          <w:rFonts w:ascii="HP Simplified" w:eastAsia="Arial Unicode MS" w:hAnsi="HP Simplified" w:cstheme="minorHAnsi"/>
        </w:rPr>
        <w:t xml:space="preserve">Por su parte, el </w:t>
      </w:r>
      <w:r w:rsidRPr="001F1B81">
        <w:rPr>
          <w:rFonts w:ascii="HP Simplified" w:eastAsia="Arial Unicode MS" w:hAnsi="HP Simplified" w:cstheme="minorHAnsi"/>
          <w:b/>
        </w:rPr>
        <w:t>Decreto 22/2004, de 29 de enero, por el que se aprueba el Reglamento de Urbanismo de Castilla y León</w:t>
      </w:r>
      <w:r w:rsidRPr="001F1B81">
        <w:rPr>
          <w:rFonts w:ascii="HP Simplified" w:eastAsia="Arial Unicode MS" w:hAnsi="HP Simplified" w:cstheme="minorHAnsi"/>
        </w:rPr>
        <w:t>, desarrolla normativamente todos los aspectos de la regulación de la especial protección que merece el suelo rústico. Según este Decreto, para que en un suelo rústico resulten autorizables los usos no recogidos en su régimen general (</w:t>
      </w:r>
      <w:r w:rsidRPr="001F1B81">
        <w:rPr>
          <w:rFonts w:ascii="HP Simplified" w:hAnsi="HP Simplified" w:cstheme="minorHAnsi"/>
          <w:b/>
          <w:i/>
        </w:rPr>
        <w:t xml:space="preserve">Artículo 56. </w:t>
      </w:r>
      <w:r w:rsidRPr="001F1B81">
        <w:rPr>
          <w:rFonts w:ascii="HP Simplified" w:hAnsi="HP Simplified" w:cstheme="minorHAnsi"/>
          <w:i/>
        </w:rPr>
        <w:t>Derechos ordinarios en suelo rústico.</w:t>
      </w:r>
      <w:r>
        <w:rPr>
          <w:rFonts w:ascii="HP Simplified" w:hAnsi="HP Simplified" w:cstheme="minorHAnsi"/>
          <w:i/>
        </w:rPr>
        <w:t xml:space="preserve"> </w:t>
      </w:r>
      <w:r w:rsidRPr="001F1B81">
        <w:rPr>
          <w:rFonts w:ascii="HP Simplified" w:hAnsi="HP Simplified" w:cstheme="minorHAnsi"/>
          <w:i/>
        </w:rPr>
        <w:t>”</w:t>
      </w:r>
      <w:r w:rsidRPr="001F1B81">
        <w:rPr>
          <w:rFonts w:ascii="HP Simplified" w:eastAsia="Arial Unicode MS" w:hAnsi="HP Simplified" w:cstheme="minorHAnsi"/>
          <w:i/>
        </w:rPr>
        <w:t>Los propietarios de suelo rústico tienen derecho a usar, disfrutar y disponer de sus terrenos conforme a su naturaleza rústica, pudiendo destinarlos sin restricciones urbanísticas a cualesquiera usos no constructivos vinculados a la utilización racional de los recursos naturales y que no alteren la naturaleza rústica de los terrenos, tales como la explotación agrícola, ganadera, forestal, piscícola y cinegética, o las actividades culturales, científicas, educativas, deportivas, recreativas, turísticas y similares que sean propias del suelo rústico</w:t>
      </w:r>
      <w:r w:rsidRPr="001F1B81">
        <w:rPr>
          <w:rFonts w:ascii="HP Simplified" w:hAnsi="HP Simplified" w:cstheme="minorHAnsi"/>
          <w:i/>
        </w:rPr>
        <w:t>.”),</w:t>
      </w:r>
      <w:r w:rsidRPr="001F1B81">
        <w:rPr>
          <w:rFonts w:ascii="HP Simplified" w:eastAsia="Arial Unicode MS" w:hAnsi="HP Simplified" w:cstheme="minorHAnsi"/>
        </w:rPr>
        <w:t xml:space="preserve">debe necesariamente motivarse que se cumple con el mandato de la normativa que pone como condiciones por el Art 57: </w:t>
      </w:r>
    </w:p>
    <w:p w14:paraId="0D48186B" w14:textId="77777777" w:rsidR="003042C8" w:rsidRPr="001F1B81" w:rsidRDefault="003042C8" w:rsidP="003042C8">
      <w:pPr>
        <w:pStyle w:val="Prrafodelista"/>
        <w:numPr>
          <w:ilvl w:val="0"/>
          <w:numId w:val="35"/>
        </w:numPr>
        <w:spacing w:before="120" w:after="120" w:line="276" w:lineRule="auto"/>
        <w:ind w:left="0" w:firstLine="709"/>
        <w:contextualSpacing w:val="0"/>
        <w:jc w:val="both"/>
        <w:rPr>
          <w:rFonts w:ascii="HP Simplified" w:eastAsia="Arial Unicode MS" w:hAnsi="HP Simplified" w:cstheme="minorHAnsi"/>
          <w:i/>
          <w:color w:val="000000"/>
          <w:sz w:val="24"/>
          <w:szCs w:val="24"/>
        </w:rPr>
      </w:pPr>
      <w:r w:rsidRPr="001F1B81">
        <w:rPr>
          <w:rFonts w:ascii="HP Simplified" w:eastAsia="Arial Unicode MS" w:hAnsi="HP Simplified" w:cstheme="minorHAnsi"/>
          <w:i/>
          <w:color w:val="000000"/>
          <w:sz w:val="24"/>
          <w:szCs w:val="24"/>
        </w:rPr>
        <w:t xml:space="preserve">“atendiendo a su interés público”, </w:t>
      </w:r>
    </w:p>
    <w:p w14:paraId="21DD6EFE" w14:textId="77777777" w:rsidR="003042C8" w:rsidRPr="001F1B81" w:rsidRDefault="003042C8" w:rsidP="003042C8">
      <w:pPr>
        <w:pStyle w:val="Prrafodelista"/>
        <w:numPr>
          <w:ilvl w:val="0"/>
          <w:numId w:val="35"/>
        </w:numPr>
        <w:spacing w:before="120" w:after="120" w:line="276" w:lineRule="auto"/>
        <w:ind w:left="0" w:firstLine="709"/>
        <w:contextualSpacing w:val="0"/>
        <w:jc w:val="both"/>
        <w:rPr>
          <w:rFonts w:ascii="HP Simplified" w:eastAsia="Arial Unicode MS" w:hAnsi="HP Simplified" w:cstheme="minorHAnsi"/>
          <w:i/>
          <w:color w:val="000000"/>
          <w:sz w:val="24"/>
          <w:szCs w:val="24"/>
        </w:rPr>
      </w:pPr>
      <w:r w:rsidRPr="001F1B81">
        <w:rPr>
          <w:rFonts w:ascii="HP Simplified" w:eastAsia="Arial Unicode MS" w:hAnsi="HP Simplified" w:cstheme="minorHAnsi"/>
          <w:i/>
          <w:color w:val="000000"/>
          <w:sz w:val="24"/>
          <w:szCs w:val="24"/>
        </w:rPr>
        <w:t>“conformidad con la naturaleza rústica de los terrenos”,</w:t>
      </w:r>
    </w:p>
    <w:p w14:paraId="46F7C540" w14:textId="77777777" w:rsidR="003042C8" w:rsidRPr="001F1B81" w:rsidRDefault="003042C8" w:rsidP="003042C8">
      <w:pPr>
        <w:pStyle w:val="Prrafodelista"/>
        <w:numPr>
          <w:ilvl w:val="0"/>
          <w:numId w:val="35"/>
        </w:numPr>
        <w:spacing w:before="120" w:after="120" w:line="276" w:lineRule="auto"/>
        <w:ind w:left="0" w:firstLine="709"/>
        <w:contextualSpacing w:val="0"/>
        <w:jc w:val="both"/>
        <w:rPr>
          <w:rFonts w:ascii="HP Simplified" w:eastAsia="Arial Unicode MS" w:hAnsi="HP Simplified" w:cstheme="minorHAnsi"/>
          <w:i/>
          <w:sz w:val="24"/>
          <w:szCs w:val="24"/>
        </w:rPr>
      </w:pPr>
      <w:r w:rsidRPr="001F1B81">
        <w:rPr>
          <w:rFonts w:ascii="HP Simplified" w:eastAsia="Arial Unicode MS" w:hAnsi="HP Simplified" w:cstheme="minorHAnsi"/>
          <w:i/>
          <w:color w:val="000000"/>
          <w:sz w:val="24"/>
          <w:szCs w:val="24"/>
        </w:rPr>
        <w:lastRenderedPageBreak/>
        <w:t xml:space="preserve">“compatibilidad con los valores protegidos por la legislación sectorial </w:t>
      </w:r>
      <w:r w:rsidRPr="001F1B81">
        <w:rPr>
          <w:rFonts w:ascii="HP Simplified" w:eastAsia="Arial Unicode MS" w:hAnsi="HP Simplified" w:cstheme="minorHAnsi"/>
          <w:i/>
          <w:sz w:val="24"/>
          <w:szCs w:val="24"/>
        </w:rPr>
        <w:t>vinculados a la utilización racional de los recursos naturales”</w:t>
      </w:r>
    </w:p>
    <w:p w14:paraId="2A570892" w14:textId="77777777" w:rsidR="003042C8" w:rsidRPr="001F1B81" w:rsidRDefault="003042C8" w:rsidP="003042C8">
      <w:pPr>
        <w:pStyle w:val="Default"/>
        <w:spacing w:before="120" w:after="120"/>
        <w:ind w:firstLine="709"/>
        <w:jc w:val="both"/>
        <w:rPr>
          <w:rFonts w:ascii="HP Simplified" w:eastAsia="Arial Unicode MS" w:hAnsi="HP Simplified" w:cstheme="minorHAnsi"/>
          <w:i/>
        </w:rPr>
      </w:pPr>
      <w:r w:rsidRPr="001F1B81">
        <w:rPr>
          <w:rFonts w:ascii="HP Simplified" w:eastAsia="Arial Unicode MS" w:hAnsi="HP Simplified" w:cstheme="minorHAnsi"/>
        </w:rPr>
        <w:t xml:space="preserve">Estos derechos o usos excepcionales autorizables vienen definidos en el Art 57 en unos epígrafes en los que se abunda en lo que puede considerarse de interés público respecto al uso industrial que supone la instalación y puesta en funcionamiento de aerogeneradores: </w:t>
      </w:r>
      <w:r w:rsidRPr="001F1B81">
        <w:rPr>
          <w:rFonts w:ascii="HP Simplified" w:eastAsia="Arial Unicode MS" w:hAnsi="HP Simplified" w:cstheme="minorHAnsi"/>
          <w:i/>
        </w:rPr>
        <w:t>g) Otros usos, sean dotacionales, comerciales, industriales, de almacenamiento, vinculados al ocio o de cualquier otro tipo, que puedan considerarse de interés público:</w:t>
      </w:r>
    </w:p>
    <w:p w14:paraId="67F0A2CD"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1.º Por estar vinculados a cualquier forma de servicio público.</w:t>
      </w:r>
    </w:p>
    <w:p w14:paraId="15A2838B"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169D22A5"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3.º Por estar vinculados a la producción agropecuaria.</w:t>
      </w:r>
    </w:p>
    <w:p w14:paraId="2546E1CB"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4.º Por la conveniencia de regularizar y consolidar los asentamientos irregulares, y de dotarles con los servicios necesarios.</w:t>
      </w:r>
    </w:p>
    <w:p w14:paraId="2B50F806" w14:textId="77777777" w:rsidR="003042C8" w:rsidRPr="001F1B81" w:rsidRDefault="003042C8" w:rsidP="003042C8">
      <w:pPr>
        <w:pStyle w:val="Default"/>
        <w:spacing w:before="120" w:after="120"/>
        <w:ind w:firstLine="709"/>
        <w:jc w:val="both"/>
        <w:rPr>
          <w:rFonts w:ascii="HP Simplified" w:eastAsia="Arial Unicode MS" w:hAnsi="HP Simplified" w:cstheme="minorHAnsi"/>
        </w:rPr>
      </w:pPr>
      <w:r w:rsidRPr="001F1B81">
        <w:rPr>
          <w:rFonts w:ascii="HP Simplified" w:eastAsia="Arial Unicode MS" w:hAnsi="HP Simplified" w:cstheme="minorHAnsi"/>
        </w:rPr>
        <w:t>Consecuentemente ese uso EXCEPCIONAL sólo podría ser autorizable por, recapitulando:</w:t>
      </w:r>
    </w:p>
    <w:p w14:paraId="5C47B866" w14:textId="77777777" w:rsidR="003042C8" w:rsidRPr="001F1B81" w:rsidRDefault="003042C8" w:rsidP="003042C8">
      <w:pPr>
        <w:pStyle w:val="Prrafodelista"/>
        <w:numPr>
          <w:ilvl w:val="0"/>
          <w:numId w:val="37"/>
        </w:numPr>
        <w:spacing w:before="120" w:after="120" w:line="276" w:lineRule="auto"/>
        <w:ind w:left="0" w:firstLine="709"/>
        <w:contextualSpacing w:val="0"/>
        <w:jc w:val="both"/>
        <w:rPr>
          <w:rFonts w:ascii="HP Simplified" w:eastAsia="Arial Unicode MS" w:hAnsi="HP Simplified" w:cstheme="minorHAnsi"/>
          <w:color w:val="000000"/>
          <w:sz w:val="24"/>
          <w:szCs w:val="24"/>
        </w:rPr>
      </w:pPr>
      <w:r w:rsidRPr="001F1B81">
        <w:rPr>
          <w:rFonts w:ascii="HP Simplified" w:eastAsia="Arial Unicode MS" w:hAnsi="HP Simplified" w:cstheme="minorHAnsi"/>
          <w:color w:val="000000"/>
          <w:sz w:val="24"/>
          <w:szCs w:val="24"/>
        </w:rPr>
        <w:t>Interés público</w:t>
      </w:r>
    </w:p>
    <w:p w14:paraId="467A0010" w14:textId="77777777" w:rsidR="003042C8" w:rsidRPr="001F1B81" w:rsidRDefault="003042C8" w:rsidP="003042C8">
      <w:pPr>
        <w:pStyle w:val="Prrafodelista"/>
        <w:numPr>
          <w:ilvl w:val="1"/>
          <w:numId w:val="37"/>
        </w:numPr>
        <w:spacing w:before="120" w:after="120" w:line="240"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sz w:val="24"/>
          <w:szCs w:val="24"/>
        </w:rPr>
        <w:t>1.º Por estar vinculados a cualquier forma de servicio público.</w:t>
      </w:r>
    </w:p>
    <w:p w14:paraId="51614BF0" w14:textId="77777777" w:rsidR="003042C8" w:rsidRPr="001F1B81" w:rsidRDefault="003042C8" w:rsidP="003042C8">
      <w:pPr>
        <w:pStyle w:val="Prrafodelista"/>
        <w:numPr>
          <w:ilvl w:val="1"/>
          <w:numId w:val="37"/>
        </w:numPr>
        <w:spacing w:before="120" w:after="120" w:line="240"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1CAB2622" w14:textId="77777777" w:rsidR="003042C8" w:rsidRPr="001F1B81" w:rsidRDefault="003042C8" w:rsidP="003042C8">
      <w:pPr>
        <w:pStyle w:val="Prrafodelista"/>
        <w:numPr>
          <w:ilvl w:val="1"/>
          <w:numId w:val="37"/>
        </w:numPr>
        <w:spacing w:before="120" w:after="120" w:line="240"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sz w:val="24"/>
          <w:szCs w:val="24"/>
        </w:rPr>
        <w:t>3.º Por estar vinculados a la producción agropecuaria.</w:t>
      </w:r>
    </w:p>
    <w:p w14:paraId="6CE2A810" w14:textId="77777777" w:rsidR="003042C8" w:rsidRPr="001F1B81" w:rsidRDefault="003042C8" w:rsidP="003042C8">
      <w:pPr>
        <w:pStyle w:val="Prrafodelista"/>
        <w:numPr>
          <w:ilvl w:val="1"/>
          <w:numId w:val="37"/>
        </w:numPr>
        <w:spacing w:before="120" w:after="120" w:line="276"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sz w:val="24"/>
          <w:szCs w:val="24"/>
        </w:rPr>
        <w:t>4.ºPor la conveniencia de regularizar y consolidar los asentamientos irregulares, y de dotarles con los servicios necesarios.</w:t>
      </w:r>
    </w:p>
    <w:p w14:paraId="4E56531D" w14:textId="77777777" w:rsidR="003042C8" w:rsidRPr="001F1B81" w:rsidRDefault="003042C8" w:rsidP="003042C8">
      <w:pPr>
        <w:pStyle w:val="Prrafodelista"/>
        <w:numPr>
          <w:ilvl w:val="0"/>
          <w:numId w:val="37"/>
        </w:numPr>
        <w:spacing w:before="120" w:after="120" w:line="276" w:lineRule="auto"/>
        <w:ind w:left="0" w:firstLine="709"/>
        <w:contextualSpacing w:val="0"/>
        <w:jc w:val="both"/>
        <w:rPr>
          <w:rFonts w:ascii="HP Simplified" w:eastAsia="Arial Unicode MS" w:hAnsi="HP Simplified" w:cstheme="minorHAnsi"/>
          <w:color w:val="000000"/>
          <w:sz w:val="24"/>
          <w:szCs w:val="24"/>
        </w:rPr>
      </w:pPr>
      <w:r w:rsidRPr="001F1B81">
        <w:rPr>
          <w:rFonts w:ascii="HP Simplified" w:eastAsia="Arial Unicode MS" w:hAnsi="HP Simplified" w:cstheme="minorHAnsi"/>
          <w:color w:val="000000"/>
          <w:sz w:val="24"/>
          <w:szCs w:val="24"/>
        </w:rPr>
        <w:t>Conformidad con la naturaleza rústica de los terrenos</w:t>
      </w:r>
    </w:p>
    <w:p w14:paraId="60BF6F8D" w14:textId="77777777" w:rsidR="003042C8" w:rsidRPr="001F1B81" w:rsidRDefault="003042C8" w:rsidP="003042C8">
      <w:pPr>
        <w:pStyle w:val="Prrafodelista"/>
        <w:numPr>
          <w:ilvl w:val="0"/>
          <w:numId w:val="37"/>
        </w:numPr>
        <w:spacing w:before="120" w:after="120" w:line="276"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color w:val="000000"/>
          <w:sz w:val="24"/>
          <w:szCs w:val="24"/>
        </w:rPr>
        <w:t>Compatibilidad con los valores protegidos por la legislación sectorial</w:t>
      </w:r>
      <w:r w:rsidRPr="001F1B81">
        <w:rPr>
          <w:rFonts w:ascii="HP Simplified" w:eastAsia="Arial Unicode MS" w:hAnsi="HP Simplified" w:cstheme="minorHAnsi"/>
          <w:sz w:val="24"/>
          <w:szCs w:val="24"/>
        </w:rPr>
        <w:t xml:space="preserve"> vinculados a la utilización racional de los recursos naturales” </w:t>
      </w:r>
    </w:p>
    <w:p w14:paraId="2B276345" w14:textId="77777777" w:rsidR="003042C8" w:rsidRPr="001F1B81" w:rsidRDefault="003042C8" w:rsidP="003042C8">
      <w:pPr>
        <w:pStyle w:val="Default"/>
        <w:spacing w:before="120" w:after="120"/>
        <w:ind w:firstLine="709"/>
        <w:jc w:val="both"/>
        <w:rPr>
          <w:rFonts w:ascii="HP Simplified" w:eastAsia="Arial Unicode MS" w:hAnsi="HP Simplified" w:cstheme="minorHAnsi"/>
        </w:rPr>
      </w:pPr>
      <w:r w:rsidRPr="001F1B81">
        <w:rPr>
          <w:rFonts w:ascii="HP Simplified" w:eastAsia="Arial Unicode MS" w:hAnsi="HP Simplified" w:cstheme="minorHAnsi"/>
        </w:rPr>
        <w:t>Habría de motivarse entonces en la documentación para la tramitación de proyectos, que se aportan garantías de cumplimiento del interés público tal como lo ha descrito la ley, de conformidad con la naturaleza rústica de los terrenos y de la compatibilidad con los valores protegidos por la legislación sectorial vinculados a la utilización racional de los recursos naturales, ya que son requisitos que necesariamente han de darse para poder hacer autorizable un uso distinto de los que vienen recogidos en su régimen general.</w:t>
      </w:r>
    </w:p>
    <w:p w14:paraId="211808E3" w14:textId="77777777" w:rsidR="003042C8" w:rsidRPr="001F1B81" w:rsidRDefault="003042C8" w:rsidP="003042C8">
      <w:pPr>
        <w:pStyle w:val="Default"/>
        <w:spacing w:before="120" w:after="120"/>
        <w:ind w:firstLine="709"/>
        <w:jc w:val="both"/>
        <w:rPr>
          <w:rFonts w:ascii="HP Simplified" w:eastAsia="Arial Unicode MS" w:hAnsi="HP Simplified" w:cstheme="minorHAnsi"/>
        </w:rPr>
      </w:pPr>
      <w:r w:rsidRPr="001F1B81">
        <w:rPr>
          <w:rFonts w:ascii="HP Simplified" w:eastAsia="Arial Unicode MS" w:hAnsi="HP Simplified" w:cstheme="minorHAnsi"/>
        </w:rPr>
        <w:t>No pueden verse cumplidas estas condiciones, como repasamos a continuación:</w:t>
      </w:r>
    </w:p>
    <w:p w14:paraId="3219B67F" w14:textId="77777777" w:rsidR="003042C8" w:rsidRPr="001F1B81" w:rsidRDefault="003042C8" w:rsidP="003042C8">
      <w:pPr>
        <w:pStyle w:val="Prrafodelista"/>
        <w:numPr>
          <w:ilvl w:val="0"/>
          <w:numId w:val="36"/>
        </w:numPr>
        <w:spacing w:before="120" w:after="120" w:line="276" w:lineRule="auto"/>
        <w:ind w:left="0" w:firstLine="709"/>
        <w:contextualSpacing w:val="0"/>
        <w:jc w:val="both"/>
        <w:rPr>
          <w:rFonts w:ascii="HP Simplified" w:eastAsia="Arial Unicode MS" w:hAnsi="HP Simplified" w:cstheme="minorHAnsi"/>
          <w:b/>
          <w:color w:val="000000"/>
          <w:sz w:val="24"/>
          <w:szCs w:val="24"/>
        </w:rPr>
      </w:pPr>
      <w:r w:rsidRPr="001F1B81">
        <w:rPr>
          <w:rFonts w:ascii="HP Simplified" w:eastAsia="Arial Unicode MS" w:hAnsi="HP Simplified" w:cstheme="minorHAnsi"/>
          <w:b/>
          <w:color w:val="000000"/>
          <w:sz w:val="24"/>
          <w:szCs w:val="24"/>
        </w:rPr>
        <w:t>“Interés público”</w:t>
      </w:r>
    </w:p>
    <w:p w14:paraId="1F7AEB4C" w14:textId="77777777" w:rsidR="003042C8" w:rsidRPr="001F1B81" w:rsidRDefault="003042C8" w:rsidP="003042C8">
      <w:pPr>
        <w:pStyle w:val="Prrafodelista"/>
        <w:numPr>
          <w:ilvl w:val="1"/>
          <w:numId w:val="36"/>
        </w:numPr>
        <w:spacing w:before="120" w:after="120" w:line="240"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b/>
          <w:sz w:val="24"/>
          <w:szCs w:val="24"/>
        </w:rPr>
        <w:lastRenderedPageBreak/>
        <w:t>“1.º Por estar vinculados a cualquier forma de servicio público”</w:t>
      </w:r>
      <w:r w:rsidRPr="001F1B81">
        <w:rPr>
          <w:rFonts w:ascii="HP Simplified" w:eastAsia="Arial Unicode MS" w:hAnsi="HP Simplified" w:cstheme="minorHAnsi"/>
          <w:sz w:val="24"/>
          <w:szCs w:val="24"/>
        </w:rPr>
        <w:t>: Este uso excepcional se plantea a propuesta de empresas privadas con afán de lucro. Por el contrario, frente a lo que podría darse como verdadero servicio público gracias a comunidades energéticas locales,</w:t>
      </w:r>
      <w:r>
        <w:rPr>
          <w:rFonts w:ascii="HP Simplified" w:eastAsia="Arial Unicode MS" w:hAnsi="HP Simplified" w:cstheme="minorHAnsi"/>
          <w:sz w:val="24"/>
          <w:szCs w:val="24"/>
        </w:rPr>
        <w:t xml:space="preserve"> </w:t>
      </w:r>
      <w:r w:rsidRPr="001F1B81">
        <w:rPr>
          <w:rFonts w:ascii="HP Simplified" w:eastAsia="Arial Unicode MS" w:hAnsi="HP Simplified" w:cstheme="minorHAnsi"/>
          <w:sz w:val="24"/>
          <w:szCs w:val="24"/>
        </w:rPr>
        <w:t>este uso excepcional por empresas privadas podría significar perder las opciones de aprovechamiento para dicho servicio público de los propios recursos energéticos del municipio, quedando en manos de empresas privadas para hacer lucro de estos recursos públicos.</w:t>
      </w:r>
    </w:p>
    <w:p w14:paraId="49A18F30" w14:textId="77777777" w:rsidR="003042C8" w:rsidRPr="001F1B81" w:rsidRDefault="003042C8" w:rsidP="003042C8">
      <w:pPr>
        <w:pStyle w:val="Prrafodelista"/>
        <w:numPr>
          <w:ilvl w:val="1"/>
          <w:numId w:val="36"/>
        </w:numPr>
        <w:spacing w:before="120" w:after="120" w:line="240" w:lineRule="auto"/>
        <w:ind w:left="0" w:firstLine="709"/>
        <w:contextualSpacing w:val="0"/>
        <w:jc w:val="both"/>
        <w:rPr>
          <w:rFonts w:ascii="HP Simplified" w:eastAsia="Arial Unicode MS" w:hAnsi="HP Simplified" w:cstheme="minorHAnsi"/>
          <w:b/>
          <w:sz w:val="24"/>
          <w:szCs w:val="24"/>
        </w:rPr>
      </w:pPr>
      <w:r w:rsidRPr="001F1B81">
        <w:rPr>
          <w:rFonts w:ascii="HP Simplified" w:eastAsia="Arial Unicode MS" w:hAnsi="HP Simplified" w:cstheme="minorHAnsi"/>
          <w:b/>
          <w:sz w:val="24"/>
          <w:szCs w:val="24"/>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55FEF057" w14:textId="77777777" w:rsidR="003042C8" w:rsidRPr="001F1B81" w:rsidRDefault="003042C8" w:rsidP="003042C8">
      <w:pPr>
        <w:spacing w:before="120" w:after="120"/>
        <w:ind w:firstLine="709"/>
        <w:jc w:val="both"/>
        <w:rPr>
          <w:rFonts w:ascii="HP Simplified" w:eastAsia="Arial Unicode MS" w:hAnsi="HP Simplified" w:cstheme="minorHAnsi"/>
          <w:sz w:val="24"/>
          <w:szCs w:val="24"/>
        </w:rPr>
      </w:pPr>
      <w:r w:rsidRPr="001F1B81">
        <w:rPr>
          <w:rFonts w:ascii="HP Simplified" w:eastAsia="Arial Unicode MS" w:hAnsi="HP Simplified" w:cstheme="minorHAnsi"/>
          <w:sz w:val="24"/>
          <w:szCs w:val="24"/>
        </w:rPr>
        <w:t>No se encuentra probada dicha necesidad. No está justificada la autorización de más concesiones de MW que los previstos en el Plan Estratégico requerido por la Ley 21/2013, de 9 de diciembre, de evaluación ambiental ya que el Plan Nacional Integrado de Energía y Clima señala en su “Medida 1.1. Desarrollo de nuevas instalaciones de generación eléctrica con renovables: a)</w:t>
      </w:r>
      <w:r>
        <w:rPr>
          <w:rFonts w:ascii="HP Simplified" w:eastAsia="Arial Unicode MS" w:hAnsi="HP Simplified" w:cstheme="minorHAnsi"/>
          <w:sz w:val="24"/>
          <w:szCs w:val="24"/>
        </w:rPr>
        <w:t xml:space="preserve"> </w:t>
      </w:r>
      <w:r w:rsidRPr="001F1B81">
        <w:rPr>
          <w:rFonts w:ascii="HP Simplified" w:eastAsia="Arial Unicode MS" w:hAnsi="HP Simplified" w:cstheme="minorHAnsi"/>
          <w:sz w:val="24"/>
          <w:szCs w:val="24"/>
        </w:rPr>
        <w:t>Descripción: Durante el periodo 2021-2030 se prevé la instalación de una capacidad adicional de generación eléctrica con renovables de 59 GW”, los cuales ya han sido sobrepasados a nivel nacional. El PNIEC y su Declaración Ambiental Estratégica, señalan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escasa entidad, y no para un uso industrial masivo. Así dicha Declaración Ambiental Estratégica considera fundamental la participación ciudadana y establece que lo indicado es:</w:t>
      </w:r>
    </w:p>
    <w:p w14:paraId="30571385"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 “su integración en espacios urbanos e industriales;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w:t>
      </w:r>
    </w:p>
    <w:p w14:paraId="1794ADF6"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 “El despliegue de instalaciones de energías renovables en el territorio se realizará preferentemente sobre suelos degradados y poco aptos para el cultivo, preservándose de su ocupación los suelos con buena capacidad agrológica, así como los lugares de interés geológico.”</w:t>
      </w:r>
    </w:p>
    <w:p w14:paraId="3DE26546"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 “Se evitará el trazado de líneas eléctricas por zonas de alto valor ornitológico y forestal, y en las proximidades de masa de agua que son utilizadas por avifauna (marjales, humedales, lagunas, embalses, etc.).</w:t>
      </w:r>
    </w:p>
    <w:p w14:paraId="3153FD08"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 “En la ocupación de montes de utilidad pública por instalaciones de energía renovable se deberá justificar la compatibilidad del nuevo uso industrial con el mantenimiento de las funciones del monte que han motivado su declaración (defensa frente inundaciones, regulación del régimen hidrológico, uso recreativo, conservación de la naturaleza, paisaje, etc.).”</w:t>
      </w:r>
    </w:p>
    <w:p w14:paraId="7E1EE422" w14:textId="77777777" w:rsidR="003042C8" w:rsidRPr="001F1B81" w:rsidRDefault="003042C8" w:rsidP="003042C8">
      <w:pPr>
        <w:spacing w:before="120" w:after="120"/>
        <w:ind w:firstLine="709"/>
        <w:jc w:val="both"/>
        <w:rPr>
          <w:rFonts w:ascii="HP Simplified" w:eastAsia="Arial Unicode MS" w:hAnsi="HP Simplified" w:cstheme="minorHAnsi"/>
          <w:i/>
          <w:sz w:val="24"/>
          <w:szCs w:val="24"/>
        </w:rPr>
      </w:pPr>
      <w:r w:rsidRPr="001F1B81">
        <w:rPr>
          <w:rFonts w:ascii="HP Simplified" w:eastAsia="Arial Unicode MS" w:hAnsi="HP Simplified" w:cstheme="minorHAnsi"/>
          <w:i/>
          <w:sz w:val="24"/>
          <w:szCs w:val="24"/>
        </w:rPr>
        <w:t xml:space="preserve">- “Se recomienda a nivel estratégico profundizar en el estudio del impacto que sobre los territorios y la población puede producir el cambio del modelo productivo </w:t>
      </w:r>
      <w:r w:rsidRPr="001F1B81">
        <w:rPr>
          <w:rFonts w:ascii="HP Simplified" w:eastAsia="Arial Unicode MS" w:hAnsi="HP Simplified" w:cstheme="minorHAnsi"/>
          <w:i/>
          <w:sz w:val="24"/>
          <w:szCs w:val="24"/>
        </w:rPr>
        <w:lastRenderedPageBreak/>
        <w:t>derivado del despliegue de energías renovables y el abandono de los aprovechamientos tradicionales que puede provocar un efecto acumulativo sobre el desempleo rural y la despoblación.”</w:t>
      </w:r>
    </w:p>
    <w:p w14:paraId="0222F074" w14:textId="77777777" w:rsidR="003042C8" w:rsidRPr="001F1B81" w:rsidRDefault="003042C8" w:rsidP="003042C8">
      <w:pPr>
        <w:spacing w:before="120" w:after="120"/>
        <w:ind w:firstLine="709"/>
        <w:jc w:val="both"/>
        <w:rPr>
          <w:rFonts w:ascii="HP Simplified" w:eastAsia="Arial Unicode MS" w:hAnsi="HP Simplified" w:cstheme="minorHAnsi"/>
          <w:sz w:val="24"/>
          <w:szCs w:val="24"/>
        </w:rPr>
      </w:pPr>
      <w:r w:rsidRPr="001F1B81">
        <w:rPr>
          <w:rFonts w:ascii="HP Simplified" w:eastAsia="Arial Unicode MS" w:hAnsi="HP Simplified" w:cstheme="minorHAnsi"/>
          <w:sz w:val="24"/>
          <w:szCs w:val="24"/>
        </w:rPr>
        <w:t>Sin embargo, el uso excepcional que plantean estos proyectos propuestos por promotoras privadas, abriría la posibilidad a una actividad industrial de grandes dimensiones promovida por grandes empresas y sus filiales con un sistema hipercentralizado y oligopolístico de la generación de energía, cuando desde el sector científico y académico se señala que la mitigación del cambio climático no puede llegar sin la descarbonización de las fuentes de energía, sin una revolución en la eficiencia de los sistemas que emplean esa energía, sin la generalización del autoconsumo, ni sin lograr un sistema de generación distribuido que acerque los puntos de producción a los centros de consumo. Además, en las últimas décadas se ha evidenciado como la ocupación del medio natural por parte de actividades extractivas y de generación de energía, supone una seria amenaza para la salud de la población mundial y del planeta, disminuyendo significativamente la capacidad del Planeta para la fijación de gases de efecto invernadero. Este uso excepcional del suelo rústico no se haya motivado en base a una planificación racional de los recursos naturales orientada al aumento de la eficiencia energética y al ahorro en su consumo, ni tampoco al fomento del autoconsumo y producción en cercanía. Y, por otro lado, supone una pérdida significativa de superficie natural y un grave deterioro de los valores ambientales y servicios ecosistémicos, causada por la ingente demanda de materiales para su construcción, ocupación del suelo municipal, aumento de viales y accesibilidad a zonas sensibles, mortalidad y pérdida de hábitat para las especies protegidas y aparición de efectos ecológicos negativos en cascada sobre el régimen geológico e hidrológico y el clima.</w:t>
      </w:r>
    </w:p>
    <w:p w14:paraId="116F4E9C" w14:textId="77777777" w:rsidR="003042C8" w:rsidRPr="001F1B81" w:rsidRDefault="003042C8" w:rsidP="003042C8">
      <w:pPr>
        <w:pStyle w:val="Prrafodelista"/>
        <w:numPr>
          <w:ilvl w:val="1"/>
          <w:numId w:val="36"/>
        </w:numPr>
        <w:spacing w:before="120" w:after="120" w:line="240"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b/>
          <w:sz w:val="24"/>
          <w:szCs w:val="24"/>
        </w:rPr>
        <w:t>“3.º Por estar vinculados a la producción agropecuaria”</w:t>
      </w:r>
      <w:r w:rsidRPr="001F1B81">
        <w:rPr>
          <w:rFonts w:ascii="HP Simplified" w:eastAsia="Arial Unicode MS" w:hAnsi="HP Simplified" w:cstheme="minorHAnsi"/>
          <w:sz w:val="24"/>
          <w:szCs w:val="24"/>
        </w:rPr>
        <w:t>: No se da el caso en los proyectos presentados.</w:t>
      </w:r>
    </w:p>
    <w:p w14:paraId="7627808D" w14:textId="77777777" w:rsidR="003042C8" w:rsidRPr="006B5700" w:rsidRDefault="003042C8" w:rsidP="003042C8">
      <w:pPr>
        <w:pStyle w:val="Prrafodelista"/>
        <w:numPr>
          <w:ilvl w:val="1"/>
          <w:numId w:val="36"/>
        </w:numPr>
        <w:spacing w:before="120" w:after="120" w:line="276"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b/>
          <w:sz w:val="24"/>
          <w:szCs w:val="24"/>
        </w:rPr>
        <w:t>“4.º Por la conveniencia de regularizar y consolidar los asentamientos irregulares, y de dotarles con los servicios necesarios”</w:t>
      </w:r>
      <w:r w:rsidRPr="001F1B81">
        <w:rPr>
          <w:rFonts w:ascii="HP Simplified" w:eastAsia="Arial Unicode MS" w:hAnsi="HP Simplified" w:cstheme="minorHAnsi"/>
          <w:sz w:val="24"/>
          <w:szCs w:val="24"/>
        </w:rPr>
        <w:t>: Tampoco es el caso.</w:t>
      </w:r>
    </w:p>
    <w:p w14:paraId="647B95CF" w14:textId="77777777" w:rsidR="003042C8" w:rsidRPr="001F1B81" w:rsidRDefault="003042C8" w:rsidP="003042C8">
      <w:pPr>
        <w:pStyle w:val="Prrafodelista"/>
        <w:numPr>
          <w:ilvl w:val="0"/>
          <w:numId w:val="36"/>
        </w:numPr>
        <w:spacing w:before="120" w:after="120" w:line="276" w:lineRule="auto"/>
        <w:ind w:left="0" w:firstLine="709"/>
        <w:contextualSpacing w:val="0"/>
        <w:jc w:val="both"/>
        <w:rPr>
          <w:rFonts w:ascii="HP Simplified" w:eastAsia="Arial Unicode MS" w:hAnsi="HP Simplified" w:cstheme="minorHAnsi"/>
          <w:b/>
          <w:color w:val="000000"/>
          <w:sz w:val="24"/>
          <w:szCs w:val="24"/>
        </w:rPr>
      </w:pPr>
      <w:r w:rsidRPr="001F1B81">
        <w:rPr>
          <w:rFonts w:ascii="HP Simplified" w:eastAsia="Arial Unicode MS" w:hAnsi="HP Simplified" w:cstheme="minorHAnsi"/>
          <w:b/>
          <w:color w:val="000000"/>
          <w:sz w:val="24"/>
          <w:szCs w:val="24"/>
        </w:rPr>
        <w:t>“Conformidad con la naturaleza rústica de los terrenos”:</w:t>
      </w:r>
    </w:p>
    <w:p w14:paraId="742F1850" w14:textId="77777777" w:rsidR="003042C8" w:rsidRPr="001F1B81" w:rsidRDefault="003042C8" w:rsidP="003042C8">
      <w:pPr>
        <w:pStyle w:val="Default"/>
        <w:spacing w:before="120" w:after="120"/>
        <w:ind w:firstLine="708"/>
        <w:jc w:val="both"/>
        <w:rPr>
          <w:rFonts w:ascii="HP Simplified" w:eastAsia="Arial Unicode MS" w:hAnsi="HP Simplified" w:cstheme="minorHAnsi"/>
          <w:color w:val="auto"/>
        </w:rPr>
      </w:pPr>
      <w:r w:rsidRPr="001F1B81">
        <w:rPr>
          <w:rFonts w:ascii="HP Simplified" w:eastAsia="Arial Unicode MS" w:hAnsi="HP Simplified" w:cstheme="minorHAnsi"/>
          <w:color w:val="auto"/>
        </w:rPr>
        <w:t>Como ya se ha comentado la naturaleza forestal del suelo queda comprometida porque el proyecto conlleva la ejecución de 8.421metros de infraestructuras viales, correspondientes al acceso al parque eólico y a la red de viales internos, que deberán ser de al menos 6 metros de anchura, con una gruesa cimentación para soportar transportes más de 100 Tm (como se recoge en proyectos similares), y no de las dimensiones que pretende el proyecto, ni de su cuantía (6.102 m según el presupuesto). Se deberán realizar asimismo 9 kilómetros de zanjas para soterrar las conducciones eléctricas entre los aerogeneradores y la subestación eléctrica del parque, lo que implica el acceso y el trabajo de maquinaria pesada para llevarlas a cabo. Finalmente, para la evacuación de la producción eléctrica, se tiene que construir una línea de alta tensión de más de 30 kilómetros hasta el nudo de Montearenas, perteneciente a Red Eléctrica Española, mediante una línea de alta tensión.</w:t>
      </w:r>
    </w:p>
    <w:p w14:paraId="4DC4A767" w14:textId="77777777" w:rsidR="003042C8" w:rsidRPr="001F1B81" w:rsidRDefault="003042C8" w:rsidP="003042C8">
      <w:pPr>
        <w:pStyle w:val="Prrafodelista"/>
        <w:numPr>
          <w:ilvl w:val="0"/>
          <w:numId w:val="36"/>
        </w:numPr>
        <w:spacing w:before="120" w:after="120" w:line="276" w:lineRule="auto"/>
        <w:ind w:left="0" w:firstLine="709"/>
        <w:contextualSpacing w:val="0"/>
        <w:jc w:val="both"/>
        <w:rPr>
          <w:rFonts w:ascii="HP Simplified" w:eastAsia="Arial Unicode MS" w:hAnsi="HP Simplified" w:cstheme="minorHAnsi"/>
          <w:sz w:val="24"/>
          <w:szCs w:val="24"/>
        </w:rPr>
      </w:pPr>
      <w:r w:rsidRPr="001F1B81">
        <w:rPr>
          <w:rFonts w:ascii="HP Simplified" w:eastAsia="Arial Unicode MS" w:hAnsi="HP Simplified" w:cstheme="minorHAnsi"/>
          <w:b/>
          <w:color w:val="000000"/>
          <w:sz w:val="24"/>
          <w:szCs w:val="24"/>
        </w:rPr>
        <w:t>“Compatibilidad con los valores protegidos por la legislación sectorial</w:t>
      </w:r>
      <w:r w:rsidRPr="001F1B81">
        <w:rPr>
          <w:rFonts w:ascii="HP Simplified" w:eastAsia="Arial Unicode MS" w:hAnsi="HP Simplified" w:cstheme="minorHAnsi"/>
          <w:b/>
          <w:sz w:val="24"/>
          <w:szCs w:val="24"/>
        </w:rPr>
        <w:t xml:space="preserve"> vinculados a la utilización racional de los recursos naturales</w:t>
      </w:r>
      <w:r w:rsidRPr="001F1B81">
        <w:rPr>
          <w:rFonts w:ascii="HP Simplified" w:eastAsia="Arial Unicode MS" w:hAnsi="HP Simplified" w:cstheme="minorHAnsi"/>
          <w:sz w:val="24"/>
          <w:szCs w:val="24"/>
        </w:rPr>
        <w:t>”:</w:t>
      </w:r>
    </w:p>
    <w:p w14:paraId="0C56FB74" w14:textId="77777777" w:rsidR="003042C8" w:rsidRPr="001F1B81" w:rsidRDefault="003042C8" w:rsidP="003042C8">
      <w:pPr>
        <w:pStyle w:val="Default"/>
        <w:spacing w:before="120" w:after="120"/>
        <w:ind w:firstLine="709"/>
        <w:jc w:val="both"/>
        <w:rPr>
          <w:rFonts w:ascii="HP Simplified" w:eastAsia="Arial Unicode MS" w:hAnsi="HP Simplified" w:cstheme="minorHAnsi"/>
        </w:rPr>
      </w:pPr>
      <w:r w:rsidRPr="001F1B81">
        <w:rPr>
          <w:rFonts w:ascii="HP Simplified" w:eastAsia="Arial Unicode MS" w:hAnsi="HP Simplified" w:cstheme="minorHAnsi"/>
        </w:rPr>
        <w:lastRenderedPageBreak/>
        <w:t xml:space="preserve">Con todo lo ya comentado, se puede comprobar que se afecta innecesariamente áreas de alto valor natural, forestal, y a la biodiversidad. Insistimos en que toda la legislación hace </w:t>
      </w:r>
      <w:r>
        <w:rPr>
          <w:rFonts w:ascii="HP Simplified" w:eastAsia="Arial Unicode MS" w:hAnsi="HP Simplified" w:cstheme="minorHAnsi"/>
        </w:rPr>
        <w:t>h</w:t>
      </w:r>
      <w:r w:rsidRPr="001F1B81">
        <w:rPr>
          <w:rFonts w:ascii="HP Simplified" w:eastAsia="Arial Unicode MS" w:hAnsi="HP Simplified" w:cstheme="minorHAnsi"/>
        </w:rPr>
        <w:t>incapié en que deben evitarse montes de utilidad pública, monte arbolado, áreas críticas para la conservación de especies protegidas y sus corredores naturales, sin contar con la normativa, relativa a los bienes de interés cultural existentes en la zona, que protege el paisaje.</w:t>
      </w:r>
    </w:p>
    <w:p w14:paraId="7FF94D3B"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Por su parte, el PNIEC y su Declaración Ambiental Estratégica, señalan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escasa entidad, y no para un uso industrial masivo. Así dicha Declaración Ambiental Estratégica considera fundamental la participación ciudadana y establece que lo indicado es:</w:t>
      </w:r>
    </w:p>
    <w:p w14:paraId="1A14C433"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“su integración en espacios urbanos e industriales;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w:t>
      </w:r>
    </w:p>
    <w:p w14:paraId="29B7A46E"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“El despliegue de instalaciones de energías renovables en el territorio se realizará preferentemente sobre suelos degradados y poco aptos para el cultivo, preservándose de su ocupación los suelos con buena capacidad agrológica, así como los lugares de interés geológico.”</w:t>
      </w:r>
    </w:p>
    <w:p w14:paraId="052BE9E1"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“Se evitará el trazado de líneas eléctricas por zonas de alto valor ornitológico y forestal, y en las proximidades de masa de agua que son utilizadas por avifauna (marjales, humedales, lagunas, embalses, etc.).</w:t>
      </w:r>
    </w:p>
    <w:p w14:paraId="00B80F05"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“En la ocupación de montes de utilidad pública por instalaciones de energía renovable se deberá justificar la compatibilidad del nuevo uso industrial con el mantenimiento de las funciones del monte que han motivado su declaración (defensa frente inundaciones, regulación del régimen hidrológico, uso recreativo, conservación de la naturaleza, paisaje, etc.).”</w:t>
      </w:r>
    </w:p>
    <w:p w14:paraId="3024E1B9" w14:textId="77777777" w:rsidR="003042C8" w:rsidRPr="006B5700"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 “Se recomienda a nivel estratégico profundizar en el estudio del impacto que sobre los territorios y la población puede producir el cambio del modelo productivo derivado del despliegue de energías renovables y el abandono de los aprovechamientos tradicionales que puede provocar un efecto acumulativo sobre el desempleo rural y la despoblación.”</w:t>
      </w:r>
    </w:p>
    <w:p w14:paraId="11F444D0" w14:textId="77777777" w:rsidR="003042C8" w:rsidRPr="001F1B81" w:rsidRDefault="003042C8" w:rsidP="003042C8">
      <w:pPr>
        <w:spacing w:before="120" w:after="120" w:line="240" w:lineRule="auto"/>
        <w:jc w:val="both"/>
        <w:rPr>
          <w:rFonts w:ascii="HP Simplified" w:hAnsi="HP Simplified" w:cstheme="minorHAnsi"/>
          <w:b/>
          <w:i/>
          <w:sz w:val="24"/>
          <w:szCs w:val="24"/>
        </w:rPr>
      </w:pPr>
      <w:r w:rsidRPr="001F1B81">
        <w:rPr>
          <w:rFonts w:ascii="HP Simplified" w:eastAsia="Times New Roman" w:hAnsi="HP Simplified" w:cstheme="minorHAnsi"/>
          <w:b/>
          <w:sz w:val="24"/>
          <w:szCs w:val="24"/>
          <w:lang w:eastAsia="es-ES"/>
        </w:rPr>
        <w:t>Sexto.-</w:t>
      </w:r>
      <w:r w:rsidRPr="001F1B81">
        <w:rPr>
          <w:rFonts w:ascii="HP Simplified" w:hAnsi="HP Simplified" w:cstheme="minorHAnsi"/>
          <w:sz w:val="24"/>
          <w:szCs w:val="24"/>
        </w:rPr>
        <w:t>La resolución impugnada en este recurso infringe el ordenamiento jurídico en cuanto a los requerimientos de la Ley de Cambio Climático y Transición Energética y lo reglamentado respecto a las</w:t>
      </w:r>
      <w:r w:rsidRPr="001F1B81">
        <w:rPr>
          <w:rFonts w:ascii="HP Simplified" w:hAnsi="HP Simplified" w:cstheme="minorHAnsi"/>
          <w:b/>
          <w:i/>
          <w:sz w:val="24"/>
          <w:szCs w:val="24"/>
        </w:rPr>
        <w:t xml:space="preserve"> zonas de exclusión </w:t>
      </w:r>
    </w:p>
    <w:p w14:paraId="63008CEE"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La Ley 7/2021, de 20 de mayo, de Cambio Climático y Transición Energética, que enmarca el despliegue de renovables en nuestro país, establece en su artículo 21.2 los requisitos de zonificación de sensibilidad y exclusión, y el principio de menor impacto en el despliegue de los proyectos de energía renovables: </w:t>
      </w:r>
      <w:r w:rsidRPr="001F1B81">
        <w:rPr>
          <w:rFonts w:ascii="HP Simplified" w:hAnsi="HP Simplified" w:cstheme="minorHAnsi"/>
          <w:i/>
          <w:sz w:val="24"/>
          <w:szCs w:val="24"/>
        </w:rPr>
        <w:t xml:space="preserve">“Para garantizar que las nuevas instalaciones de producción energética a partir de las fuentes de energía renovable no producen un impacto severo sobre la biodiversidad y otros valores naturales, se establecerá una zonificación que identifique zonas de sensibilidad y </w:t>
      </w:r>
      <w:r w:rsidRPr="001F1B81">
        <w:rPr>
          <w:rFonts w:ascii="HP Simplified" w:hAnsi="HP Simplified" w:cstheme="minorHAnsi"/>
          <w:i/>
          <w:sz w:val="24"/>
          <w:szCs w:val="24"/>
        </w:rPr>
        <w:lastRenderedPageBreak/>
        <w:t>exclusión por su importancia para la biodiversidad, conectividad y provisión de servicios ecosistémicos, así como sobre otros valores ambientales. A tal fin el Ministerio para la Transición Ecológica y el Reto Demográfico elaborará y actualizará periódicamente una herramienta cartográfica que refleje esa zonificación, y velará, en coordinación con las Comunidades Autónomas, para que el despliegue de los proyectos de energías renovables se lleve a cabo, preferentemente, en emplazamientos con menor impacto.”</w:t>
      </w:r>
      <w:r w:rsidRPr="001F1B81">
        <w:rPr>
          <w:rFonts w:ascii="HP Simplified" w:hAnsi="HP Simplified" w:cstheme="minorHAnsi"/>
          <w:sz w:val="24"/>
          <w:szCs w:val="24"/>
        </w:rPr>
        <w:t xml:space="preserve">  Y utiliza no en vano la palabra "exclusión". Las administraciones públicas habrán de justificar cómo están cumpliendo con estas 3 cosas: zonificación de sensibilidad, zonificación de exclusión y principio de menor impacto.</w:t>
      </w:r>
    </w:p>
    <w:p w14:paraId="272B72D9"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En ningún momento lo enuncia con carácter orientativo si no prescriptivo; como requisito para el despliegue en renovables que por esta Ley se lleva a cabo para enfrentar el Cambio Climático, en vez de para agravarlo, como sucedería de no tener en cuenta el mantenimiento de los servicios de los ecosistemas. Además, se alude al menor impacto como principio orientador, y de esa forma la Ley de Cambio Climático y Transición Energética consagra el principio de menor impacto, de la mano de los principios rectores de esta Ley específica en la materia, señalados en Artículo 2: </w:t>
      </w:r>
    </w:p>
    <w:p w14:paraId="48E1ABAC"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“a) Desarrollo sostenible.</w:t>
      </w:r>
    </w:p>
    <w:p w14:paraId="1483D235"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b) Descarbonización de la economía española, entendiendo por tal la consecución de un modelo socioeconómico sin emisiones de gases de efecto invernadero.</w:t>
      </w:r>
    </w:p>
    <w:p w14:paraId="2024043D"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i/>
          <w:sz w:val="24"/>
          <w:szCs w:val="24"/>
        </w:rPr>
        <w:t>c) Protección del medio ambiente, preservación de la biodiversidad, y aplicación del principio «quien contamina, paga».”</w:t>
      </w:r>
    </w:p>
    <w:p w14:paraId="20C3487E"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Como resultado, por donde debe comenzarse el despliegue de renovables es por las zonas de menor impacto como tejados, fachadas, y suelo urbano o degradado, cuando el propio Ministerio reconoce en su hoja de ruta un potencial de </w:t>
      </w:r>
      <w:r w:rsidRPr="001F1B81">
        <w:rPr>
          <w:rFonts w:ascii="HP Simplified" w:hAnsi="HP Simplified" w:cstheme="minorHAnsi"/>
          <w:b/>
          <w:sz w:val="24"/>
          <w:szCs w:val="24"/>
        </w:rPr>
        <w:t>169 GW</w:t>
      </w:r>
      <w:r w:rsidRPr="001F1B81">
        <w:rPr>
          <w:rFonts w:ascii="HP Simplified" w:hAnsi="HP Simplified" w:cstheme="minorHAnsi"/>
          <w:sz w:val="24"/>
          <w:szCs w:val="24"/>
        </w:rPr>
        <w:t xml:space="preserve"> para los tejados y cubiertas: </w:t>
      </w:r>
      <w:r w:rsidRPr="001F1B81">
        <w:rPr>
          <w:rFonts w:ascii="HP Simplified" w:hAnsi="HP Simplified" w:cstheme="minorHAnsi"/>
          <w:i/>
          <w:sz w:val="24"/>
          <w:szCs w:val="24"/>
        </w:rPr>
        <w:t>“El estudio obtiene un potencial técnico en el escenario objetivo a 2030 de 71 GW en cubiertas y 98 GW en fachadas, alcanzando por tanto un potencial técnico de 169 GW”</w:t>
      </w:r>
      <w:r w:rsidRPr="001F1B81">
        <w:rPr>
          <w:rFonts w:ascii="HP Simplified" w:hAnsi="HP Simplified" w:cstheme="minorHAnsi"/>
          <w:sz w:val="24"/>
          <w:szCs w:val="24"/>
        </w:rPr>
        <w:t xml:space="preserve"> (</w:t>
      </w:r>
      <w:hyperlink r:id="rId11" w:history="1">
        <w:r w:rsidRPr="001F1B81">
          <w:rPr>
            <w:rFonts w:ascii="HP Simplified" w:hAnsi="HP Simplified" w:cstheme="minorHAnsi"/>
            <w:sz w:val="24"/>
            <w:szCs w:val="24"/>
          </w:rPr>
          <w:t>https://www.miteco.gob.es/es/ministerio/planes-estrategias/hoja-ruta-autoconsumo/hojaderutaautoconsumo_tcm30-534411.pdf</w:t>
        </w:r>
      </w:hyperlink>
      <w:r w:rsidRPr="001F1B81">
        <w:rPr>
          <w:rFonts w:ascii="HP Simplified" w:hAnsi="HP Simplified" w:cstheme="minorHAnsi"/>
          <w:sz w:val="24"/>
          <w:szCs w:val="24"/>
        </w:rPr>
        <w:t xml:space="preserve">). Esto sería más que suficiente para cubrir lo proyectado por el Plan Integrado de Energía y Clima, que establece que </w:t>
      </w:r>
      <w:r w:rsidRPr="001F1B81">
        <w:rPr>
          <w:rFonts w:ascii="HP Simplified" w:hAnsi="HP Simplified" w:cstheme="minorHAnsi"/>
          <w:i/>
          <w:sz w:val="24"/>
          <w:szCs w:val="24"/>
        </w:rPr>
        <w:t>“durante el período 2021/2030 se prevé la instalación de una capacidad adicional de generación eléctrica con renovables de 59 GW”.</w:t>
      </w:r>
    </w:p>
    <w:p w14:paraId="7EC0C351"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ab/>
        <w:t xml:space="preserve">Para asegurar la </w:t>
      </w:r>
      <w:r w:rsidRPr="001F1B81">
        <w:rPr>
          <w:rFonts w:ascii="HP Simplified" w:hAnsi="HP Simplified" w:cstheme="minorHAnsi"/>
          <w:i/>
          <w:sz w:val="24"/>
          <w:szCs w:val="24"/>
        </w:rPr>
        <w:t>Conectividad</w:t>
      </w:r>
      <w:r w:rsidRPr="001F1B81">
        <w:rPr>
          <w:rFonts w:ascii="HP Simplified" w:hAnsi="HP Simplified" w:cstheme="minorHAnsi"/>
          <w:sz w:val="24"/>
          <w:szCs w:val="24"/>
        </w:rPr>
        <w:t xml:space="preserve"> se deben reglamentar criterios y medidas que garanticen la necesaria articulación de esa red de espacios protegidos, reservorios de biodiversidad, que encontramos especialmente en nuestra provincia de León, con más motivo por contar con muchos corredores entre el amplio número de espacios con alguna figura de protección y por el elevado porcentaje de suelo forestal en la provincia. La Ley 42/2007 define corredor ecológico, y en su artículo 47 sobre la coherencia y conectividad, establece que las CCAA fomentarán la conservación de corredores ecológicos.</w:t>
      </w:r>
    </w:p>
    <w:p w14:paraId="4411E772" w14:textId="2AE02DF4" w:rsidR="003042C8" w:rsidRPr="001F1B81" w:rsidRDefault="003042C8" w:rsidP="003042C8">
      <w:pPr>
        <w:spacing w:before="120" w:after="120"/>
        <w:ind w:firstLine="708"/>
        <w:jc w:val="both"/>
        <w:rPr>
          <w:rFonts w:ascii="HP Simplified" w:hAnsi="HP Simplified" w:cstheme="minorHAnsi"/>
          <w:i/>
          <w:sz w:val="24"/>
          <w:szCs w:val="24"/>
        </w:rPr>
      </w:pPr>
      <w:r w:rsidRPr="001F1B81">
        <w:rPr>
          <w:rFonts w:ascii="HP Simplified" w:hAnsi="HP Simplified" w:cstheme="minorHAnsi"/>
          <w:sz w:val="24"/>
          <w:szCs w:val="24"/>
        </w:rPr>
        <w:t xml:space="preserve">Además, volviendo a la Ley 7/2021, da primordial importancia a los sumideros en su artículo 26. </w:t>
      </w:r>
      <w:r w:rsidRPr="001F1B81">
        <w:rPr>
          <w:rFonts w:ascii="HP Simplified" w:hAnsi="HP Simplified" w:cstheme="minorHAnsi"/>
          <w:i/>
          <w:sz w:val="24"/>
          <w:szCs w:val="24"/>
        </w:rPr>
        <w:t>“Fomento de la capacidad de absorción de los sumideros de carbono.</w:t>
      </w:r>
    </w:p>
    <w:p w14:paraId="7DE8E557"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xml:space="preserve">1. Las Administraciones Públicas competentes promoverán la identificación, clasificación, cartografía, aumento y mejora de los sumideros de carbono, incluidos los </w:t>
      </w:r>
      <w:r w:rsidRPr="001F1B81">
        <w:rPr>
          <w:rFonts w:ascii="HP Simplified" w:hAnsi="HP Simplified" w:cstheme="minorHAnsi"/>
          <w:i/>
          <w:sz w:val="24"/>
          <w:szCs w:val="24"/>
        </w:rPr>
        <w:lastRenderedPageBreak/>
        <w:t>sumideros de carbono azul definidos por el Grupo Intergubernamental de Expertos sobre el Cambio Climático, así como su evaluación y contabilización a partir de las fuentes de información existentes.</w:t>
      </w:r>
    </w:p>
    <w:p w14:paraId="6AB32E25"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2. Las Administraciones Públicas, en el marco del Consejo Nacional del Clima y la Comisión de Coordinación de Políticas de Cambio Climático, adoptarán las acciones oportunas para incentivar la participación de personas y entidades propietarias y gestoras públicas y privadas, especialmente los del sector agrario y forestal, en el aumento de la capacidad de captación de CO2 de los sumideros de carbono.</w:t>
      </w:r>
    </w:p>
    <w:p w14:paraId="76FE1EE0"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3. A los fines señalados en los apartados anteriores, se fomentarán las acciones que resalten las externalidades positivas que proporcionan los sumideros de carbono terrestres y marinos, especialmente aquellas que proporciona el sector agrario y forestal, así como el uso de la biomasa de origen primario como fuente de materiales, los productos forestales de los montes como materias primas con ciclo de vida óptimo, servicios ecosistémicos y energía de origen renovable y sostenible. A tal efecto, la acción de fomento señalada se llevará a cabo en el marco del necesario apoyo a la bioeconomía como motor de desarrollo de las zonas rurales, y adaptada a las obligaciones ligadas a la calidad del aire.”</w:t>
      </w:r>
    </w:p>
    <w:p w14:paraId="0DF364A0" w14:textId="77777777" w:rsidR="003042C8" w:rsidRPr="001F1B81" w:rsidRDefault="003042C8" w:rsidP="003042C8">
      <w:pPr>
        <w:spacing w:before="120" w:after="120"/>
        <w:ind w:firstLine="708"/>
        <w:jc w:val="both"/>
        <w:rPr>
          <w:rFonts w:ascii="HP Simplified" w:hAnsi="HP Simplified" w:cstheme="minorHAnsi"/>
          <w:i/>
          <w:sz w:val="24"/>
          <w:szCs w:val="24"/>
        </w:rPr>
      </w:pPr>
      <w:r w:rsidRPr="001F1B81">
        <w:rPr>
          <w:rFonts w:ascii="HP Simplified" w:hAnsi="HP Simplified" w:cstheme="minorHAnsi"/>
          <w:sz w:val="24"/>
          <w:szCs w:val="24"/>
        </w:rPr>
        <w:t xml:space="preserve">Actualmente las montañas de León reciben la protección del reconocimiento de la Organización de las Naciones Unidas para la Alimentación y la Agricultura (FAO) como “Sistema de Importancia en el Patrimonio Agrícola Mundial”. Y en la misma línea, la citada Ley establece, en su Artículo 25: </w:t>
      </w:r>
      <w:r w:rsidRPr="001F1B81">
        <w:rPr>
          <w:rFonts w:ascii="HP Simplified" w:hAnsi="HP Simplified" w:cstheme="minorHAnsi"/>
          <w:i/>
          <w:sz w:val="24"/>
          <w:szCs w:val="24"/>
        </w:rPr>
        <w:t>“Desarrollo rural: política agraria, política forestal y energías renovables- El Gobierno incorporará en la aplicación de la Política Agraria Común, así como en otras estrategias, planes y programas en materia de política agraria y de desarrollo rural, y en el Plan Forestal Español, medidas encaminadas a reducir la vulnerabilidad al cambio climático de los suelos agrícolas, de los montes y de los suelos forestales y para facilitar la preservación de los mismos, entre ellas, la elaboración de un mapa de vulnerabilidad, así como la evaluación y promoción de sistemas agrícolas y prácticas de gestión forestal sostenibles para aumentar su resiliencia frente al cambio climático, que fomentarán en todo caso las sinergias con la reducción de emisiones de gases de efecto invernadero en estos ecosistemas.</w:t>
      </w:r>
      <w:r>
        <w:rPr>
          <w:rFonts w:ascii="HP Simplified" w:hAnsi="HP Simplified" w:cstheme="minorHAnsi"/>
          <w:i/>
          <w:sz w:val="24"/>
          <w:szCs w:val="24"/>
        </w:rPr>
        <w:t xml:space="preserve"> </w:t>
      </w:r>
      <w:r w:rsidRPr="001F1B81">
        <w:rPr>
          <w:rFonts w:ascii="HP Simplified" w:hAnsi="HP Simplified" w:cstheme="minorHAnsi"/>
          <w:i/>
          <w:sz w:val="24"/>
          <w:szCs w:val="24"/>
        </w:rPr>
        <w:t>El despliegue de las energías renovables debe llevarse a cabo de manera compatible con la conservación del patrimonio natural y la adecuada ordenación territorial. Para ello, perseguirá revertir parte de la riqueza que genera en el territorio donde se realice el referido despliegue para activar su economía y combatir el declive demográfico.”</w:t>
      </w:r>
    </w:p>
    <w:p w14:paraId="4D67FB4E" w14:textId="77777777" w:rsidR="003042C8" w:rsidRPr="001F1B81" w:rsidRDefault="003042C8" w:rsidP="003042C8">
      <w:pPr>
        <w:spacing w:before="120" w:after="120"/>
        <w:jc w:val="both"/>
        <w:rPr>
          <w:rFonts w:ascii="HP Simplified" w:hAnsi="HP Simplified" w:cstheme="minorHAnsi"/>
          <w:sz w:val="24"/>
          <w:szCs w:val="24"/>
        </w:rPr>
      </w:pPr>
      <w:r w:rsidRPr="001F1B81">
        <w:rPr>
          <w:rFonts w:ascii="HP Simplified" w:hAnsi="HP Simplified" w:cstheme="minorHAnsi"/>
          <w:sz w:val="24"/>
          <w:szCs w:val="24"/>
        </w:rPr>
        <w:tab/>
        <w:t>Según el Decreto-ley 4/2022, de 27 de octubre, la Junta de Castilla y León ha determinado un procedimiento ordenado, que en su artículo 13, recoge las causas de no autorización de Parques eólicos:</w:t>
      </w:r>
    </w:p>
    <w:p w14:paraId="2920CD7B"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Red de Áreas Naturales Protegidas, salvo en los montes protectores y en los catalogados de utilidad pública</w:t>
      </w:r>
    </w:p>
    <w:p w14:paraId="6A77C1F8"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Áreas críticas de especies protegidas con plan de conservación o recuperación</w:t>
      </w:r>
    </w:p>
    <w:p w14:paraId="0F594294" w14:textId="77777777" w:rsidR="003042C8" w:rsidRPr="001F1B81" w:rsidRDefault="003042C8" w:rsidP="003042C8">
      <w:pPr>
        <w:spacing w:before="120" w:after="120"/>
        <w:jc w:val="both"/>
        <w:rPr>
          <w:rFonts w:ascii="HP Simplified" w:hAnsi="HP Simplified" w:cstheme="minorHAnsi"/>
          <w:i/>
          <w:color w:val="FF0000"/>
          <w:sz w:val="24"/>
          <w:szCs w:val="24"/>
        </w:rPr>
      </w:pPr>
      <w:r w:rsidRPr="001F1B81">
        <w:rPr>
          <w:rFonts w:ascii="HP Simplified" w:hAnsi="HP Simplified" w:cstheme="minorHAnsi"/>
          <w:i/>
          <w:sz w:val="24"/>
          <w:szCs w:val="24"/>
        </w:rPr>
        <w:t xml:space="preserve">- Distancia a menos de 500 metros de un bien de interés cultural </w:t>
      </w:r>
    </w:p>
    <w:p w14:paraId="6E5BE86D"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Distancia a menos de 1.000 metros de núcleos urbanos</w:t>
      </w:r>
    </w:p>
    <w:p w14:paraId="56F0946F"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lastRenderedPageBreak/>
        <w:t>- Distancia a menos de 1.000 de centros educativos, centros sanitarios y sociosanitarios ubicados en suelo rústico</w:t>
      </w:r>
    </w:p>
    <w:p w14:paraId="667B4375" w14:textId="77777777" w:rsidR="003042C8" w:rsidRPr="001F1B81" w:rsidRDefault="003042C8" w:rsidP="003042C8">
      <w:pPr>
        <w:spacing w:before="120" w:after="120"/>
        <w:jc w:val="both"/>
        <w:rPr>
          <w:rFonts w:ascii="HP Simplified" w:hAnsi="HP Simplified" w:cstheme="minorHAnsi"/>
          <w:i/>
          <w:sz w:val="24"/>
          <w:szCs w:val="24"/>
        </w:rPr>
      </w:pPr>
      <w:r w:rsidRPr="001F1B81">
        <w:rPr>
          <w:rFonts w:ascii="HP Simplified" w:hAnsi="HP Simplified" w:cstheme="minorHAnsi"/>
          <w:i/>
          <w:sz w:val="24"/>
          <w:szCs w:val="24"/>
        </w:rPr>
        <w:t>- Zonas de regadíos</w:t>
      </w:r>
    </w:p>
    <w:p w14:paraId="21D7D73E" w14:textId="77777777" w:rsidR="003042C8" w:rsidRPr="001F1B81" w:rsidRDefault="003042C8" w:rsidP="003042C8">
      <w:pPr>
        <w:spacing w:before="120" w:after="120"/>
        <w:ind w:firstLine="708"/>
        <w:jc w:val="both"/>
        <w:rPr>
          <w:rFonts w:ascii="HP Simplified" w:hAnsi="HP Simplified" w:cstheme="minorHAnsi"/>
          <w:i/>
          <w:sz w:val="24"/>
          <w:szCs w:val="24"/>
        </w:rPr>
      </w:pPr>
      <w:r w:rsidRPr="001F1B81">
        <w:rPr>
          <w:rFonts w:ascii="HP Simplified" w:hAnsi="HP Simplified" w:cstheme="minorHAnsi"/>
          <w:sz w:val="24"/>
          <w:szCs w:val="24"/>
        </w:rPr>
        <w:t xml:space="preserve">La Declaración de Impacto Ambiental también recoge lo siguiente: </w:t>
      </w:r>
      <w:r w:rsidRPr="001F1B81">
        <w:rPr>
          <w:rFonts w:ascii="HP Simplified" w:hAnsi="HP Simplified" w:cstheme="minorHAnsi"/>
          <w:i/>
          <w:sz w:val="24"/>
          <w:szCs w:val="24"/>
        </w:rPr>
        <w:t xml:space="preserve">b) Distancias preceptivas. Las instalaciones proyectadas deberán guardar las distancias con respecto a núcleos urbanos, vías de comunicación, límites de parcela, recursos hídricos, instalaciones diversas y otros elementos sensibles, establecidas en la normativa urbanística, sectorial, ordenanzas municipales o de cualquier otro tipo que sea de aplicación. En todo caso, tendrá preferencia la norma que sea más restrictiva a este respecto. </w:t>
      </w:r>
    </w:p>
    <w:p w14:paraId="6B0CA300" w14:textId="77777777" w:rsidR="00025561" w:rsidRDefault="00025561" w:rsidP="00025561">
      <w:pPr>
        <w:autoSpaceDE w:val="0"/>
        <w:autoSpaceDN w:val="0"/>
        <w:adjustRightInd w:val="0"/>
        <w:spacing w:before="120" w:after="120" w:line="240" w:lineRule="auto"/>
        <w:jc w:val="both"/>
        <w:rPr>
          <w:rFonts w:ascii="HP Simplified" w:eastAsia="Times New Roman" w:hAnsi="HP Simplified" w:cstheme="minorHAnsi"/>
          <w:i/>
          <w:color w:val="404040" w:themeColor="text1" w:themeTint="BF"/>
          <w:sz w:val="24"/>
          <w:szCs w:val="24"/>
          <w:lang w:eastAsia="es-ES"/>
        </w:rPr>
      </w:pPr>
      <w:r>
        <w:rPr>
          <w:rFonts w:ascii="HP Simplified" w:hAnsi="HP Simplified" w:cstheme="minorHAnsi"/>
          <w:i/>
          <w:color w:val="404040" w:themeColor="text1" w:themeTint="BF"/>
          <w:sz w:val="24"/>
          <w:szCs w:val="24"/>
        </w:rPr>
        <w:tab/>
      </w:r>
      <w:r>
        <w:rPr>
          <w:rFonts w:ascii="HP Simplified" w:eastAsia="Times New Roman" w:hAnsi="HP Simplified" w:cstheme="minorHAnsi"/>
          <w:color w:val="404040" w:themeColor="text1" w:themeTint="BF"/>
          <w:sz w:val="24"/>
          <w:szCs w:val="24"/>
          <w:lang w:eastAsia="es-ES"/>
        </w:rPr>
        <w:t xml:space="preserve">Por todo lo ya comentado respecto a los MUP y los sumideros de CO2, entendemos que otra zona de exclusión es el </w:t>
      </w:r>
      <w:r>
        <w:rPr>
          <w:rFonts w:ascii="HP Simplified" w:eastAsia="Times New Roman" w:hAnsi="HP Simplified" w:cstheme="minorHAnsi"/>
          <w:color w:val="404040" w:themeColor="text1" w:themeTint="BF"/>
          <w:sz w:val="24"/>
          <w:szCs w:val="24"/>
          <w:u w:val="single"/>
          <w:lang w:eastAsia="es-ES"/>
        </w:rPr>
        <w:t>monte arbolado</w:t>
      </w:r>
      <w:r>
        <w:rPr>
          <w:rFonts w:ascii="HP Simplified" w:eastAsia="Times New Roman" w:hAnsi="HP Simplified" w:cstheme="minorHAnsi"/>
          <w:color w:val="404040" w:themeColor="text1" w:themeTint="BF"/>
          <w:sz w:val="24"/>
          <w:szCs w:val="24"/>
          <w:lang w:eastAsia="es-ES"/>
        </w:rPr>
        <w:t>, y la Declaración de Impacto Ambiental reconoce que afecta a monte arbolado como ya se ha citado, en concreto pinos. Atendiendo a esto, este procedimiento debe considerarse caducado por lo dispuesto en la Disposición transitoria primera punto 3 del Decreto Ley 2/22 de Castilla y León. Queda patente en la DIA, la afección a monte arbolado y la incompatibilidad manifiesta del proyecto con estos Montes de Utilidad Pública, en el siguiente párrafo: “</w:t>
      </w:r>
      <w:r>
        <w:rPr>
          <w:rFonts w:ascii="HP Simplified" w:eastAsia="Times New Roman" w:hAnsi="HP Simplified" w:cstheme="minorHAnsi"/>
          <w:i/>
          <w:color w:val="404040" w:themeColor="text1" w:themeTint="BF"/>
          <w:sz w:val="24"/>
          <w:szCs w:val="24"/>
          <w:lang w:eastAsia="es-ES"/>
        </w:rPr>
        <w:t>Debido al alto número de incendios de la zona (especialmente en invierno primavera) y por las limitaciones de actuación de vara a los medios aéreos que implican estas infraestructuras, se mantendrá libre de vegetación arbustiva y arbórea una franja de una 10 m a ambos lados de los viales que unen los distintos aerogeneradores, así como de sus plataformas, conservando en todo momento la vegetación herbácea de protección del terreno.”</w:t>
      </w:r>
    </w:p>
    <w:p w14:paraId="0C721558" w14:textId="77777777" w:rsidR="003042C8" w:rsidRPr="006B5700" w:rsidRDefault="003042C8" w:rsidP="003042C8">
      <w:pPr>
        <w:spacing w:before="120" w:after="120"/>
        <w:jc w:val="both"/>
        <w:rPr>
          <w:rFonts w:ascii="HP Simplified" w:hAnsi="HP Simplified" w:cstheme="minorHAnsi"/>
          <w:color w:val="404040" w:themeColor="text1" w:themeTint="BF"/>
          <w:sz w:val="24"/>
          <w:szCs w:val="24"/>
        </w:rPr>
      </w:pPr>
      <w:r w:rsidRPr="006B5700">
        <w:rPr>
          <w:rFonts w:ascii="HP Simplified" w:eastAsia="Times New Roman" w:hAnsi="HP Simplified" w:cstheme="minorHAnsi"/>
          <w:b/>
          <w:color w:val="404040" w:themeColor="text1" w:themeTint="BF"/>
          <w:sz w:val="24"/>
          <w:szCs w:val="24"/>
          <w:lang w:eastAsia="es-ES"/>
        </w:rPr>
        <w:t>Séptimo.–</w:t>
      </w:r>
      <w:r w:rsidRPr="006B5700">
        <w:rPr>
          <w:rFonts w:ascii="HP Simplified" w:hAnsi="HP Simplified" w:cstheme="minorHAnsi"/>
          <w:color w:val="404040" w:themeColor="text1" w:themeTint="BF"/>
          <w:sz w:val="24"/>
          <w:szCs w:val="24"/>
        </w:rPr>
        <w:t xml:space="preserve"> Conculca el </w:t>
      </w:r>
      <w:r w:rsidRPr="006B5700">
        <w:rPr>
          <w:rFonts w:ascii="HP Simplified" w:hAnsi="HP Simplified" w:cstheme="minorHAnsi"/>
          <w:b/>
          <w:color w:val="404040" w:themeColor="text1" w:themeTint="BF"/>
          <w:sz w:val="24"/>
          <w:szCs w:val="24"/>
        </w:rPr>
        <w:t>principio de interdicción de la arbitrariedad de las Administraciones Públicas</w:t>
      </w:r>
      <w:r w:rsidRPr="006B5700">
        <w:rPr>
          <w:rFonts w:ascii="HP Simplified" w:hAnsi="HP Simplified" w:cstheme="minorHAnsi"/>
          <w:color w:val="404040" w:themeColor="text1" w:themeTint="BF"/>
          <w:sz w:val="24"/>
          <w:szCs w:val="24"/>
        </w:rPr>
        <w:t xml:space="preserve"> al  no seguir coherentemente los mismos criterios empleados en otras resoluciones de Declaraciones de Impacto Ambiental (DIA), y de Autorización Administrativa Previa.</w:t>
      </w:r>
    </w:p>
    <w:p w14:paraId="0FA99B3A" w14:textId="77777777" w:rsidR="003042C8" w:rsidRPr="006B5700" w:rsidRDefault="003042C8" w:rsidP="003042C8">
      <w:pPr>
        <w:spacing w:before="120" w:after="120"/>
        <w:ind w:firstLine="708"/>
        <w:jc w:val="both"/>
        <w:rPr>
          <w:rFonts w:ascii="HP Simplified" w:hAnsi="HP Simplified"/>
          <w:color w:val="404040" w:themeColor="text1" w:themeTint="BF"/>
          <w:sz w:val="24"/>
          <w:szCs w:val="24"/>
        </w:rPr>
      </w:pPr>
      <w:r w:rsidRPr="006B5700">
        <w:rPr>
          <w:rFonts w:ascii="HP Simplified" w:hAnsi="HP Simplified" w:cstheme="minorHAnsi"/>
          <w:color w:val="404040" w:themeColor="text1" w:themeTint="BF"/>
          <w:sz w:val="24"/>
          <w:szCs w:val="24"/>
        </w:rPr>
        <w:t>Entendemos que debería seguirse el mismo criterio planteado en la resolución de DIA desfavorable del PE Busmayor: “</w:t>
      </w:r>
      <w:r w:rsidRPr="006B5700">
        <w:rPr>
          <w:rFonts w:ascii="HP Simplified" w:hAnsi="HP Simplified"/>
          <w:i/>
          <w:color w:val="404040" w:themeColor="text1" w:themeTint="BF"/>
          <w:sz w:val="24"/>
          <w:szCs w:val="24"/>
        </w:rPr>
        <w:t xml:space="preserve">Por todo ello se concluye que los datos aportados y la evaluación practicada no permite determinar la viabilidad del proyecto y procede aplicar el artículo 2 de la Ley 21/2013, donde se indica que los procedimientos de evaluación ambiental se sujetarán al </w:t>
      </w:r>
      <w:r w:rsidRPr="006B5700">
        <w:rPr>
          <w:rFonts w:ascii="HP Simplified" w:hAnsi="HP Simplified"/>
          <w:i/>
          <w:color w:val="404040" w:themeColor="text1" w:themeTint="BF"/>
          <w:sz w:val="24"/>
          <w:szCs w:val="24"/>
          <w:u w:val="single"/>
        </w:rPr>
        <w:t>principio de precaución</w:t>
      </w:r>
      <w:r w:rsidRPr="006B5700">
        <w:rPr>
          <w:rFonts w:ascii="HP Simplified" w:hAnsi="HP Simplified"/>
          <w:i/>
          <w:color w:val="404040" w:themeColor="text1" w:themeTint="BF"/>
          <w:sz w:val="24"/>
          <w:szCs w:val="24"/>
        </w:rPr>
        <w:t xml:space="preserve"> y acción cautelar.” </w:t>
      </w:r>
      <w:r w:rsidRPr="006B5700">
        <w:rPr>
          <w:rFonts w:ascii="HP Simplified" w:hAnsi="HP Simplified"/>
          <w:color w:val="404040" w:themeColor="text1" w:themeTint="BF"/>
          <w:sz w:val="24"/>
          <w:szCs w:val="24"/>
        </w:rPr>
        <w:t>Pues en este caso, como hemos explicado ya ampliamente, no se ha determinado la viabilidad ambiental del proyecto y debería aplicarse el principio de precaución y acción cautelar.</w:t>
      </w:r>
    </w:p>
    <w:p w14:paraId="78B4B3C5" w14:textId="77777777" w:rsidR="003042C8" w:rsidRPr="006B5700" w:rsidRDefault="003042C8" w:rsidP="003042C8">
      <w:pPr>
        <w:spacing w:before="120" w:after="120"/>
        <w:jc w:val="both"/>
        <w:rPr>
          <w:rFonts w:ascii="HP Simplified" w:hAnsi="HP Simplified"/>
          <w:color w:val="404040" w:themeColor="text1" w:themeTint="BF"/>
          <w:sz w:val="24"/>
          <w:szCs w:val="24"/>
        </w:rPr>
      </w:pPr>
      <w:r w:rsidRPr="006B5700">
        <w:rPr>
          <w:rFonts w:ascii="HP Simplified" w:hAnsi="HP Simplified"/>
          <w:color w:val="404040" w:themeColor="text1" w:themeTint="BF"/>
          <w:sz w:val="24"/>
          <w:szCs w:val="24"/>
        </w:rPr>
        <w:t>Así mismo se</w:t>
      </w:r>
      <w:r w:rsidRPr="006B5700">
        <w:rPr>
          <w:rFonts w:ascii="HP Simplified" w:hAnsi="HP Simplified"/>
          <w:i/>
          <w:color w:val="404040" w:themeColor="text1" w:themeTint="BF"/>
          <w:sz w:val="24"/>
          <w:szCs w:val="24"/>
        </w:rPr>
        <w:t xml:space="preserve"> </w:t>
      </w:r>
      <w:r w:rsidRPr="006B5700">
        <w:rPr>
          <w:rFonts w:ascii="HP Simplified" w:hAnsi="HP Simplified"/>
          <w:color w:val="404040" w:themeColor="text1" w:themeTint="BF"/>
          <w:sz w:val="24"/>
          <w:szCs w:val="24"/>
        </w:rPr>
        <w:t>formula</w:t>
      </w:r>
      <w:r w:rsidRPr="006B5700">
        <w:rPr>
          <w:rFonts w:ascii="HP Simplified" w:hAnsi="HP Simplified"/>
          <w:i/>
          <w:color w:val="404040" w:themeColor="text1" w:themeTint="BF"/>
          <w:sz w:val="24"/>
          <w:szCs w:val="24"/>
        </w:rPr>
        <w:t xml:space="preserve"> “declaración de impacto ambiental desfavorable a la realización del proyecto «Parque eólico Barjas 121 MW, y su infraestructura de evacuación, en las provincias de León, Ourense y Lugo», al haberse identificado la posibilidad de impactos negativos significativos sobre el medio ambiente para los que las </w:t>
      </w:r>
      <w:r w:rsidRPr="006B5700">
        <w:rPr>
          <w:rFonts w:ascii="HP Simplified" w:hAnsi="HP Simplified"/>
          <w:i/>
          <w:color w:val="404040" w:themeColor="text1" w:themeTint="BF"/>
          <w:sz w:val="24"/>
          <w:szCs w:val="24"/>
          <w:u w:val="single"/>
        </w:rPr>
        <w:t>medidas propuestas no presentan garantía suficiente</w:t>
      </w:r>
      <w:r w:rsidRPr="006B5700">
        <w:rPr>
          <w:rFonts w:ascii="HP Simplified" w:hAnsi="HP Simplified"/>
          <w:i/>
          <w:color w:val="404040" w:themeColor="text1" w:themeTint="BF"/>
          <w:sz w:val="24"/>
          <w:szCs w:val="24"/>
        </w:rPr>
        <w:t xml:space="preserve"> de su adecuada prevención, corrección o compensación. Concretamente, se dan afecciones incompatibles del parque eólico sobre </w:t>
      </w:r>
      <w:r w:rsidRPr="006B5700">
        <w:rPr>
          <w:rFonts w:ascii="HP Simplified" w:hAnsi="HP Simplified"/>
          <w:i/>
          <w:color w:val="404040" w:themeColor="text1" w:themeTint="BF"/>
          <w:sz w:val="24"/>
          <w:szCs w:val="24"/>
          <w:u w:val="single"/>
        </w:rPr>
        <w:t xml:space="preserve">Montes de Utilidad Pública </w:t>
      </w:r>
      <w:r w:rsidRPr="006B5700">
        <w:rPr>
          <w:rFonts w:ascii="HP Simplified" w:hAnsi="HP Simplified"/>
          <w:i/>
          <w:color w:val="404040" w:themeColor="text1" w:themeTint="BF"/>
          <w:sz w:val="24"/>
          <w:szCs w:val="24"/>
        </w:rPr>
        <w:t xml:space="preserve">y sus valores efecto de protección, terrenos con condición jurídica de monte con </w:t>
      </w:r>
      <w:r w:rsidRPr="006B5700">
        <w:rPr>
          <w:rFonts w:ascii="HP Simplified" w:hAnsi="HP Simplified"/>
          <w:i/>
          <w:color w:val="404040" w:themeColor="text1" w:themeTint="BF"/>
          <w:sz w:val="24"/>
          <w:szCs w:val="24"/>
          <w:u w:val="single"/>
        </w:rPr>
        <w:t>cubierta arbolada</w:t>
      </w:r>
      <w:r w:rsidRPr="006B5700">
        <w:rPr>
          <w:rFonts w:ascii="HP Simplified" w:hAnsi="HP Simplified"/>
          <w:i/>
          <w:color w:val="404040" w:themeColor="text1" w:themeTint="BF"/>
          <w:sz w:val="24"/>
          <w:szCs w:val="24"/>
        </w:rPr>
        <w:t xml:space="preserve"> importante, </w:t>
      </w:r>
      <w:r w:rsidRPr="006B5700">
        <w:rPr>
          <w:rFonts w:ascii="HP Simplified" w:hAnsi="HP Simplified"/>
          <w:i/>
          <w:color w:val="404040" w:themeColor="text1" w:themeTint="BF"/>
          <w:sz w:val="24"/>
          <w:szCs w:val="24"/>
          <w:u w:val="single"/>
        </w:rPr>
        <w:t xml:space="preserve">afección permanente a paisaje </w:t>
      </w:r>
      <w:r w:rsidRPr="006B5700">
        <w:rPr>
          <w:rFonts w:ascii="HP Simplified" w:hAnsi="HP Simplified"/>
          <w:b/>
          <w:i/>
          <w:color w:val="404040" w:themeColor="text1" w:themeTint="BF"/>
          <w:sz w:val="24"/>
          <w:szCs w:val="24"/>
        </w:rPr>
        <w:t>sin medidas ambientales efectivas</w:t>
      </w:r>
      <w:r w:rsidRPr="006B5700">
        <w:rPr>
          <w:rFonts w:ascii="HP Simplified" w:hAnsi="HP Simplified"/>
          <w:i/>
          <w:color w:val="404040" w:themeColor="text1" w:themeTint="BF"/>
          <w:sz w:val="24"/>
          <w:szCs w:val="24"/>
        </w:rPr>
        <w:t xml:space="preserve">, de afección a la </w:t>
      </w:r>
      <w:r w:rsidRPr="006B5700">
        <w:rPr>
          <w:rFonts w:ascii="HP Simplified" w:hAnsi="HP Simplified"/>
          <w:i/>
          <w:color w:val="404040" w:themeColor="text1" w:themeTint="BF"/>
          <w:sz w:val="24"/>
          <w:szCs w:val="24"/>
          <w:u w:val="single"/>
        </w:rPr>
        <w:t>conservación de especies de flora protegida y de Hábitats de Interés Comunitario</w:t>
      </w:r>
      <w:r w:rsidRPr="006B5700">
        <w:rPr>
          <w:rFonts w:ascii="HP Simplified" w:hAnsi="HP Simplified"/>
          <w:i/>
          <w:color w:val="404040" w:themeColor="text1" w:themeTint="BF"/>
          <w:sz w:val="24"/>
          <w:szCs w:val="24"/>
        </w:rPr>
        <w:t xml:space="preserve"> y una afección significativa al estado de </w:t>
      </w:r>
      <w:r w:rsidRPr="006B5700">
        <w:rPr>
          <w:rFonts w:ascii="HP Simplified" w:hAnsi="HP Simplified"/>
          <w:i/>
          <w:color w:val="404040" w:themeColor="text1" w:themeTint="BF"/>
          <w:sz w:val="24"/>
          <w:szCs w:val="24"/>
        </w:rPr>
        <w:lastRenderedPageBreak/>
        <w:t xml:space="preserve">conservación de las especies de </w:t>
      </w:r>
      <w:r w:rsidRPr="006B5700">
        <w:rPr>
          <w:rFonts w:ascii="HP Simplified" w:hAnsi="HP Simplified"/>
          <w:i/>
          <w:color w:val="404040" w:themeColor="text1" w:themeTint="BF"/>
          <w:sz w:val="24"/>
          <w:szCs w:val="24"/>
          <w:u w:val="single"/>
        </w:rPr>
        <w:t>fauna</w:t>
      </w:r>
      <w:r w:rsidRPr="006B5700">
        <w:rPr>
          <w:rFonts w:ascii="HP Simplified" w:hAnsi="HP Simplified"/>
          <w:i/>
          <w:color w:val="404040" w:themeColor="text1" w:themeTint="BF"/>
          <w:sz w:val="24"/>
          <w:szCs w:val="24"/>
        </w:rPr>
        <w:t xml:space="preserve"> presentes, en particular las </w:t>
      </w:r>
      <w:r w:rsidRPr="006B5700">
        <w:rPr>
          <w:rFonts w:ascii="HP Simplified" w:hAnsi="HP Simplified"/>
          <w:i/>
          <w:color w:val="404040" w:themeColor="text1" w:themeTint="BF"/>
          <w:sz w:val="24"/>
          <w:szCs w:val="24"/>
          <w:u w:val="single"/>
        </w:rPr>
        <w:t>aves rapaces</w:t>
      </w:r>
      <w:r w:rsidRPr="006B5700">
        <w:rPr>
          <w:rFonts w:ascii="HP Simplified" w:hAnsi="HP Simplified"/>
          <w:i/>
          <w:color w:val="404040" w:themeColor="text1" w:themeTint="BF"/>
          <w:sz w:val="24"/>
          <w:szCs w:val="24"/>
        </w:rPr>
        <w:t xml:space="preserve"> y los </w:t>
      </w:r>
      <w:r w:rsidRPr="006B5700">
        <w:rPr>
          <w:rFonts w:ascii="HP Simplified" w:hAnsi="HP Simplified"/>
          <w:i/>
          <w:color w:val="404040" w:themeColor="text1" w:themeTint="BF"/>
          <w:sz w:val="24"/>
          <w:szCs w:val="24"/>
          <w:u w:val="single"/>
        </w:rPr>
        <w:t>quirópteros</w:t>
      </w:r>
      <w:r w:rsidRPr="006B5700">
        <w:rPr>
          <w:rFonts w:ascii="HP Simplified" w:hAnsi="HP Simplified"/>
          <w:i/>
          <w:color w:val="404040" w:themeColor="text1" w:themeTint="BF"/>
          <w:sz w:val="24"/>
          <w:szCs w:val="24"/>
        </w:rPr>
        <w:t>, todo ello a pesar de las medidas preventivas y correctoras que se pudieran adoptar para disminuir estas afecciones.”</w:t>
      </w:r>
      <w:r w:rsidRPr="006B5700">
        <w:rPr>
          <w:rFonts w:ascii="HP Simplified" w:hAnsi="HP Simplified"/>
          <w:color w:val="404040" w:themeColor="text1" w:themeTint="BF"/>
          <w:sz w:val="24"/>
          <w:szCs w:val="24"/>
        </w:rPr>
        <w:t xml:space="preserve"> Todo ello aplica a este caso, pues en el presente proyecto autorizado por la resolución recurrida se da:</w:t>
      </w:r>
    </w:p>
    <w:p w14:paraId="47617325" w14:textId="77777777" w:rsidR="003042C8" w:rsidRPr="006B5700" w:rsidRDefault="003042C8" w:rsidP="003042C8">
      <w:pPr>
        <w:pStyle w:val="Prrafodelista"/>
        <w:numPr>
          <w:ilvl w:val="0"/>
          <w:numId w:val="38"/>
        </w:numPr>
        <w:spacing w:before="120" w:after="120"/>
        <w:contextualSpacing w:val="0"/>
        <w:jc w:val="both"/>
        <w:rPr>
          <w:rFonts w:ascii="HP Simplified" w:hAnsi="HP Simplified"/>
          <w:color w:val="404040" w:themeColor="text1" w:themeTint="BF"/>
          <w:sz w:val="24"/>
          <w:szCs w:val="24"/>
        </w:rPr>
      </w:pPr>
      <w:r w:rsidRPr="006B5700">
        <w:rPr>
          <w:rFonts w:ascii="HP Simplified" w:hAnsi="HP Simplified"/>
          <w:color w:val="404040" w:themeColor="text1" w:themeTint="BF"/>
          <w:sz w:val="24"/>
          <w:szCs w:val="24"/>
        </w:rPr>
        <w:t>posibilidad de impactos negativos significativos para los que las medidas propuestas no presentan garantía suficiente (como es la modificación de escorrentía afectando la cabecera de los ríos, riesgo de inundación e incendio, etc.)</w:t>
      </w:r>
    </w:p>
    <w:p w14:paraId="008B1F8C" w14:textId="77777777" w:rsidR="003042C8" w:rsidRPr="006B5700" w:rsidRDefault="003042C8" w:rsidP="003042C8">
      <w:pPr>
        <w:pStyle w:val="Prrafodelista"/>
        <w:numPr>
          <w:ilvl w:val="0"/>
          <w:numId w:val="38"/>
        </w:numPr>
        <w:spacing w:before="120" w:after="120"/>
        <w:contextualSpacing w:val="0"/>
        <w:jc w:val="both"/>
        <w:rPr>
          <w:rFonts w:ascii="HP Simplified" w:hAnsi="HP Simplified"/>
          <w:color w:val="404040" w:themeColor="text1" w:themeTint="BF"/>
          <w:sz w:val="24"/>
          <w:szCs w:val="24"/>
        </w:rPr>
      </w:pPr>
      <w:r w:rsidRPr="006B5700">
        <w:rPr>
          <w:rFonts w:ascii="HP Simplified" w:hAnsi="HP Simplified"/>
          <w:color w:val="404040" w:themeColor="text1" w:themeTint="BF"/>
          <w:sz w:val="24"/>
          <w:szCs w:val="24"/>
        </w:rPr>
        <w:t>afecciones incompatibles sobre MUT y sus valores de protección</w:t>
      </w:r>
    </w:p>
    <w:p w14:paraId="7445EDD0" w14:textId="77777777" w:rsidR="003042C8" w:rsidRPr="006B5700" w:rsidRDefault="003042C8" w:rsidP="003042C8">
      <w:pPr>
        <w:pStyle w:val="Prrafodelista"/>
        <w:numPr>
          <w:ilvl w:val="0"/>
          <w:numId w:val="38"/>
        </w:numPr>
        <w:spacing w:before="120" w:after="120"/>
        <w:contextualSpacing w:val="0"/>
        <w:jc w:val="both"/>
        <w:rPr>
          <w:rFonts w:ascii="HP Simplified" w:hAnsi="HP Simplified"/>
          <w:color w:val="404040" w:themeColor="text1" w:themeTint="BF"/>
          <w:sz w:val="24"/>
          <w:szCs w:val="24"/>
        </w:rPr>
      </w:pPr>
      <w:r w:rsidRPr="006B5700">
        <w:rPr>
          <w:rFonts w:ascii="HP Simplified" w:hAnsi="HP Simplified"/>
          <w:color w:val="404040" w:themeColor="text1" w:themeTint="BF"/>
          <w:sz w:val="24"/>
          <w:szCs w:val="24"/>
        </w:rPr>
        <w:t>afección permanente al paisaje sin medidas ambientales efectivas</w:t>
      </w:r>
    </w:p>
    <w:p w14:paraId="39C127FF" w14:textId="77777777" w:rsidR="003042C8" w:rsidRPr="006B5700" w:rsidRDefault="003042C8" w:rsidP="003042C8">
      <w:pPr>
        <w:pStyle w:val="Prrafodelista"/>
        <w:numPr>
          <w:ilvl w:val="0"/>
          <w:numId w:val="38"/>
        </w:numPr>
        <w:spacing w:before="120" w:after="120"/>
        <w:contextualSpacing w:val="0"/>
        <w:jc w:val="both"/>
        <w:rPr>
          <w:rFonts w:ascii="HP Simplified" w:hAnsi="HP Simplified"/>
          <w:color w:val="404040" w:themeColor="text1" w:themeTint="BF"/>
          <w:sz w:val="24"/>
          <w:szCs w:val="24"/>
        </w:rPr>
      </w:pPr>
      <w:r w:rsidRPr="006B5700">
        <w:rPr>
          <w:rFonts w:ascii="HP Simplified" w:hAnsi="HP Simplified"/>
          <w:color w:val="404040" w:themeColor="text1" w:themeTint="BF"/>
          <w:sz w:val="24"/>
          <w:szCs w:val="24"/>
        </w:rPr>
        <w:t>afección a HIC, a flora y fauna protegida como aves rapaces y quirópteros a pesar de medidas propuestas que no ofrecen garantías. Según la propia resolución de autorización del PE Ucedo: “</w:t>
      </w:r>
      <w:r w:rsidRPr="006B5700">
        <w:rPr>
          <w:rFonts w:ascii="HP Simplified" w:hAnsi="HP Simplified"/>
          <w:i/>
          <w:color w:val="404040" w:themeColor="text1" w:themeTint="BF"/>
          <w:sz w:val="24"/>
          <w:szCs w:val="24"/>
        </w:rPr>
        <w:t xml:space="preserve">4030 Brezales secos europeos, 4090 Brezales oromediterráneos endémicos con aliaga, 8130 Desprendimientos mediterráneos occidentales y termófilos, 8230 Roquedos silíceos con vegetación pionera del </w:t>
      </w:r>
      <w:r w:rsidRPr="006B5700">
        <w:rPr>
          <w:rFonts w:ascii="HP Simplified" w:hAnsi="HP Simplified"/>
          <w:i/>
          <w:iCs/>
          <w:color w:val="404040" w:themeColor="text1" w:themeTint="BF"/>
          <w:sz w:val="24"/>
          <w:szCs w:val="24"/>
        </w:rPr>
        <w:t xml:space="preserve">Sedo-Scleranthion </w:t>
      </w:r>
      <w:r w:rsidRPr="006B5700">
        <w:rPr>
          <w:rFonts w:ascii="HP Simplified" w:hAnsi="HP Simplified"/>
          <w:i/>
          <w:color w:val="404040" w:themeColor="text1" w:themeTint="BF"/>
          <w:sz w:val="24"/>
          <w:szCs w:val="24"/>
        </w:rPr>
        <w:t xml:space="preserve">o del </w:t>
      </w:r>
      <w:r w:rsidRPr="006B5700">
        <w:rPr>
          <w:rFonts w:ascii="HP Simplified" w:hAnsi="HP Simplified"/>
          <w:i/>
          <w:iCs/>
          <w:color w:val="404040" w:themeColor="text1" w:themeTint="BF"/>
          <w:sz w:val="24"/>
          <w:szCs w:val="24"/>
        </w:rPr>
        <w:t>Sedo albi-Veronicion dillenii</w:t>
      </w:r>
      <w:r w:rsidRPr="006B5700">
        <w:rPr>
          <w:rFonts w:ascii="HP Simplified" w:hAnsi="HP Simplified"/>
          <w:i/>
          <w:color w:val="404040" w:themeColor="text1" w:themeTint="BF"/>
          <w:sz w:val="24"/>
          <w:szCs w:val="24"/>
        </w:rPr>
        <w:t xml:space="preserve">) y 9230 Robledales galaico-portugueses con </w:t>
      </w:r>
      <w:r w:rsidRPr="006B5700">
        <w:rPr>
          <w:rFonts w:ascii="HP Simplified" w:hAnsi="HP Simplified"/>
          <w:i/>
          <w:iCs/>
          <w:color w:val="404040" w:themeColor="text1" w:themeTint="BF"/>
          <w:sz w:val="24"/>
          <w:szCs w:val="24"/>
        </w:rPr>
        <w:t xml:space="preserve">Quercus robur </w:t>
      </w:r>
      <w:r w:rsidRPr="006B5700">
        <w:rPr>
          <w:rFonts w:ascii="HP Simplified" w:hAnsi="HP Simplified"/>
          <w:i/>
          <w:color w:val="404040" w:themeColor="text1" w:themeTint="BF"/>
          <w:sz w:val="24"/>
          <w:szCs w:val="24"/>
        </w:rPr>
        <w:t xml:space="preserve">y </w:t>
      </w:r>
      <w:r w:rsidRPr="006B5700">
        <w:rPr>
          <w:rFonts w:ascii="HP Simplified" w:hAnsi="HP Simplified"/>
          <w:i/>
          <w:iCs/>
          <w:color w:val="404040" w:themeColor="text1" w:themeTint="BF"/>
          <w:sz w:val="24"/>
          <w:szCs w:val="24"/>
        </w:rPr>
        <w:t>Quercus pirenaica</w:t>
      </w:r>
      <w:r w:rsidRPr="006B5700">
        <w:rPr>
          <w:rFonts w:ascii="HP Simplified" w:hAnsi="HP Simplified"/>
          <w:i/>
          <w:color w:val="404040" w:themeColor="text1" w:themeTint="BF"/>
          <w:sz w:val="24"/>
          <w:szCs w:val="24"/>
        </w:rPr>
        <w:t>; al igual que la presencia de especies incluidas en el Catálogo de Flora Protegida de Castilla y León, catalogadas como «De atención preferente» (</w:t>
      </w:r>
      <w:r w:rsidRPr="006B5700">
        <w:rPr>
          <w:rFonts w:ascii="HP Simplified" w:hAnsi="HP Simplified"/>
          <w:i/>
          <w:iCs/>
          <w:color w:val="404040" w:themeColor="text1" w:themeTint="BF"/>
          <w:sz w:val="24"/>
          <w:szCs w:val="24"/>
        </w:rPr>
        <w:t xml:space="preserve">Callitriche palustis </w:t>
      </w:r>
      <w:r w:rsidRPr="006B5700">
        <w:rPr>
          <w:rFonts w:ascii="HP Simplified" w:hAnsi="HP Simplified"/>
          <w:i/>
          <w:color w:val="404040" w:themeColor="text1" w:themeTint="BF"/>
          <w:sz w:val="24"/>
          <w:szCs w:val="24"/>
        </w:rPr>
        <w:t xml:space="preserve">y </w:t>
      </w:r>
      <w:r w:rsidRPr="006B5700">
        <w:rPr>
          <w:rFonts w:ascii="HP Simplified" w:hAnsi="HP Simplified"/>
          <w:i/>
          <w:iCs/>
          <w:color w:val="404040" w:themeColor="text1" w:themeTint="BF"/>
          <w:sz w:val="24"/>
          <w:szCs w:val="24"/>
        </w:rPr>
        <w:t xml:space="preserve">Senecio doria </w:t>
      </w:r>
      <w:r w:rsidRPr="006B5700">
        <w:rPr>
          <w:rFonts w:ascii="HP Simplified" w:hAnsi="HP Simplified"/>
          <w:i/>
          <w:color w:val="404040" w:themeColor="text1" w:themeTint="BF"/>
          <w:sz w:val="24"/>
          <w:szCs w:val="24"/>
        </w:rPr>
        <w:t xml:space="preserve">subsp. </w:t>
      </w:r>
      <w:r w:rsidRPr="006B5700">
        <w:rPr>
          <w:rFonts w:ascii="HP Simplified" w:hAnsi="HP Simplified"/>
          <w:i/>
          <w:iCs/>
          <w:color w:val="404040" w:themeColor="text1" w:themeTint="BF"/>
          <w:sz w:val="24"/>
          <w:szCs w:val="24"/>
        </w:rPr>
        <w:t>legionensis</w:t>
      </w:r>
      <w:r w:rsidRPr="006B5700">
        <w:rPr>
          <w:rFonts w:ascii="HP Simplified" w:hAnsi="HP Simplified"/>
          <w:i/>
          <w:color w:val="404040" w:themeColor="text1" w:themeTint="BF"/>
          <w:sz w:val="24"/>
          <w:szCs w:val="24"/>
        </w:rPr>
        <w:t xml:space="preserve">), además de diversas especies de fauna protegida, destacando entre ellas, por su interés o grado de amenaza, el milano real </w:t>
      </w:r>
      <w:r w:rsidRPr="006B5700">
        <w:rPr>
          <w:rFonts w:ascii="HP Simplified" w:hAnsi="HP Simplified"/>
          <w:i/>
          <w:iCs/>
          <w:color w:val="404040" w:themeColor="text1" w:themeTint="BF"/>
          <w:sz w:val="24"/>
          <w:szCs w:val="24"/>
        </w:rPr>
        <w:t>(Milvus milvus)</w:t>
      </w:r>
      <w:r w:rsidRPr="006B5700">
        <w:rPr>
          <w:rFonts w:ascii="HP Simplified" w:hAnsi="HP Simplified"/>
          <w:i/>
          <w:color w:val="404040" w:themeColor="text1" w:themeTint="BF"/>
          <w:sz w:val="24"/>
          <w:szCs w:val="24"/>
        </w:rPr>
        <w:t xml:space="preserve">, el buitre leonado </w:t>
      </w:r>
      <w:r w:rsidRPr="006B5700">
        <w:rPr>
          <w:rFonts w:ascii="HP Simplified" w:hAnsi="HP Simplified"/>
          <w:i/>
          <w:iCs/>
          <w:color w:val="404040" w:themeColor="text1" w:themeTint="BF"/>
          <w:sz w:val="24"/>
          <w:szCs w:val="24"/>
        </w:rPr>
        <w:t>(Gyps fulvus)</w:t>
      </w:r>
      <w:r w:rsidRPr="006B5700">
        <w:rPr>
          <w:rFonts w:ascii="HP Simplified" w:hAnsi="HP Simplified"/>
          <w:i/>
          <w:color w:val="404040" w:themeColor="text1" w:themeTint="BF"/>
          <w:sz w:val="24"/>
          <w:szCs w:val="24"/>
        </w:rPr>
        <w:t xml:space="preserve">, el buitre negro </w:t>
      </w:r>
      <w:r w:rsidRPr="006B5700">
        <w:rPr>
          <w:rFonts w:ascii="HP Simplified" w:hAnsi="HP Simplified"/>
          <w:i/>
          <w:iCs/>
          <w:color w:val="404040" w:themeColor="text1" w:themeTint="BF"/>
          <w:sz w:val="24"/>
          <w:szCs w:val="24"/>
        </w:rPr>
        <w:t>(Aegypius monachus)</w:t>
      </w:r>
      <w:r w:rsidRPr="006B5700">
        <w:rPr>
          <w:rFonts w:ascii="HP Simplified" w:hAnsi="HP Simplified"/>
          <w:i/>
          <w:color w:val="404040" w:themeColor="text1" w:themeTint="BF"/>
          <w:sz w:val="24"/>
          <w:szCs w:val="24"/>
        </w:rPr>
        <w:t xml:space="preserve">, el águila culebrera </w:t>
      </w:r>
      <w:r w:rsidRPr="006B5700">
        <w:rPr>
          <w:rFonts w:ascii="HP Simplified" w:hAnsi="HP Simplified"/>
          <w:i/>
          <w:iCs/>
          <w:color w:val="404040" w:themeColor="text1" w:themeTint="BF"/>
          <w:sz w:val="24"/>
          <w:szCs w:val="24"/>
        </w:rPr>
        <w:t>(Circaetus gallicus)</w:t>
      </w:r>
      <w:r w:rsidRPr="006B5700">
        <w:rPr>
          <w:rFonts w:ascii="HP Simplified" w:hAnsi="HP Simplified"/>
          <w:i/>
          <w:color w:val="404040" w:themeColor="text1" w:themeTint="BF"/>
          <w:sz w:val="24"/>
          <w:szCs w:val="24"/>
        </w:rPr>
        <w:t xml:space="preserve">, el águila calzada </w:t>
      </w:r>
      <w:r w:rsidRPr="006B5700">
        <w:rPr>
          <w:rFonts w:ascii="HP Simplified" w:hAnsi="HP Simplified"/>
          <w:i/>
          <w:iCs/>
          <w:color w:val="404040" w:themeColor="text1" w:themeTint="BF"/>
          <w:sz w:val="24"/>
          <w:szCs w:val="24"/>
        </w:rPr>
        <w:t>(Hieraaetus pennatus)</w:t>
      </w:r>
      <w:r w:rsidRPr="006B5700">
        <w:rPr>
          <w:rFonts w:ascii="HP Simplified" w:hAnsi="HP Simplified"/>
          <w:i/>
          <w:color w:val="404040" w:themeColor="text1" w:themeTint="BF"/>
          <w:sz w:val="24"/>
          <w:szCs w:val="24"/>
        </w:rPr>
        <w:t xml:space="preserve">, el milano negro </w:t>
      </w:r>
      <w:r w:rsidRPr="006B5700">
        <w:rPr>
          <w:rFonts w:ascii="HP Simplified" w:hAnsi="HP Simplified"/>
          <w:i/>
          <w:iCs/>
          <w:color w:val="404040" w:themeColor="text1" w:themeTint="BF"/>
          <w:sz w:val="24"/>
          <w:szCs w:val="24"/>
        </w:rPr>
        <w:t>(Milvus migrans)</w:t>
      </w:r>
      <w:r w:rsidRPr="006B5700">
        <w:rPr>
          <w:rFonts w:ascii="HP Simplified" w:hAnsi="HP Simplified"/>
          <w:i/>
          <w:color w:val="404040" w:themeColor="text1" w:themeTint="BF"/>
          <w:sz w:val="24"/>
          <w:szCs w:val="24"/>
        </w:rPr>
        <w:t xml:space="preserve">, el abejero europeo </w:t>
      </w:r>
      <w:r w:rsidRPr="006B5700">
        <w:rPr>
          <w:rFonts w:ascii="HP Simplified" w:hAnsi="HP Simplified"/>
          <w:i/>
          <w:iCs/>
          <w:color w:val="404040" w:themeColor="text1" w:themeTint="BF"/>
          <w:sz w:val="24"/>
          <w:szCs w:val="24"/>
        </w:rPr>
        <w:t xml:space="preserve">(Pernis apivorus) </w:t>
      </w:r>
      <w:r w:rsidRPr="006B5700">
        <w:rPr>
          <w:rFonts w:ascii="HP Simplified" w:hAnsi="HP Simplified"/>
          <w:i/>
          <w:color w:val="404040" w:themeColor="text1" w:themeTint="BF"/>
          <w:sz w:val="24"/>
          <w:szCs w:val="24"/>
        </w:rPr>
        <w:t xml:space="preserve">o el azor </w:t>
      </w:r>
      <w:r w:rsidRPr="006B5700">
        <w:rPr>
          <w:rFonts w:ascii="HP Simplified" w:hAnsi="HP Simplified"/>
          <w:i/>
          <w:iCs/>
          <w:color w:val="404040" w:themeColor="text1" w:themeTint="BF"/>
          <w:sz w:val="24"/>
          <w:szCs w:val="24"/>
        </w:rPr>
        <w:t>(Accipiter gentilis)</w:t>
      </w:r>
      <w:r w:rsidRPr="006B5700">
        <w:rPr>
          <w:rFonts w:ascii="HP Simplified" w:hAnsi="HP Simplified"/>
          <w:i/>
          <w:color w:val="404040" w:themeColor="text1" w:themeTint="BF"/>
          <w:sz w:val="24"/>
          <w:szCs w:val="24"/>
        </w:rPr>
        <w:t xml:space="preserve">, y también especies de quirópteros como el murciélago montañero </w:t>
      </w:r>
      <w:r w:rsidRPr="006B5700">
        <w:rPr>
          <w:rFonts w:ascii="HP Simplified" w:hAnsi="HP Simplified"/>
          <w:i/>
          <w:iCs/>
          <w:color w:val="404040" w:themeColor="text1" w:themeTint="BF"/>
          <w:sz w:val="24"/>
          <w:szCs w:val="24"/>
        </w:rPr>
        <w:t>(Hypsugo savii)</w:t>
      </w:r>
      <w:r w:rsidRPr="006B5700">
        <w:rPr>
          <w:rFonts w:ascii="HP Simplified" w:hAnsi="HP Simplified"/>
          <w:i/>
          <w:color w:val="404040" w:themeColor="text1" w:themeTint="BF"/>
          <w:sz w:val="24"/>
          <w:szCs w:val="24"/>
        </w:rPr>
        <w:t xml:space="preserve">, la barbastela </w:t>
      </w:r>
      <w:r w:rsidRPr="006B5700">
        <w:rPr>
          <w:rFonts w:ascii="HP Simplified" w:hAnsi="HP Simplified"/>
          <w:i/>
          <w:iCs/>
          <w:color w:val="404040" w:themeColor="text1" w:themeTint="BF"/>
          <w:sz w:val="24"/>
          <w:szCs w:val="24"/>
        </w:rPr>
        <w:t>(Barbastella barbastellus)</w:t>
      </w:r>
      <w:r w:rsidRPr="006B5700">
        <w:rPr>
          <w:rFonts w:ascii="HP Simplified" w:hAnsi="HP Simplified"/>
          <w:i/>
          <w:color w:val="404040" w:themeColor="text1" w:themeTint="BF"/>
          <w:sz w:val="24"/>
          <w:szCs w:val="24"/>
        </w:rPr>
        <w:t xml:space="preserve">, el nóctulo pequeño </w:t>
      </w:r>
      <w:r w:rsidRPr="006B5700">
        <w:rPr>
          <w:rFonts w:ascii="HP Simplified" w:hAnsi="HP Simplified"/>
          <w:i/>
          <w:iCs/>
          <w:color w:val="404040" w:themeColor="text1" w:themeTint="BF"/>
          <w:sz w:val="24"/>
          <w:szCs w:val="24"/>
        </w:rPr>
        <w:t>(Nyctalus leisleri)</w:t>
      </w:r>
      <w:r w:rsidRPr="006B5700">
        <w:rPr>
          <w:rFonts w:ascii="HP Simplified" w:hAnsi="HP Simplified"/>
          <w:i/>
          <w:color w:val="404040" w:themeColor="text1" w:themeTint="BF"/>
          <w:sz w:val="24"/>
          <w:szCs w:val="24"/>
        </w:rPr>
        <w:t xml:space="preserve">, el nóctulo mediano/grande </w:t>
      </w:r>
      <w:r w:rsidRPr="006B5700">
        <w:rPr>
          <w:rFonts w:ascii="HP Simplified" w:hAnsi="HP Simplified"/>
          <w:i/>
          <w:iCs/>
          <w:color w:val="404040" w:themeColor="text1" w:themeTint="BF"/>
          <w:sz w:val="24"/>
          <w:szCs w:val="24"/>
        </w:rPr>
        <w:t xml:space="preserve">(Nyctalus noctula/lasiopterus) </w:t>
      </w:r>
      <w:r w:rsidRPr="006B5700">
        <w:rPr>
          <w:rFonts w:ascii="HP Simplified" w:hAnsi="HP Simplified"/>
          <w:i/>
          <w:color w:val="404040" w:themeColor="text1" w:themeTint="BF"/>
          <w:sz w:val="24"/>
          <w:szCs w:val="24"/>
        </w:rPr>
        <w:t xml:space="preserve">o el murciélago hortelano </w:t>
      </w:r>
      <w:r w:rsidRPr="006B5700">
        <w:rPr>
          <w:rFonts w:ascii="HP Simplified" w:hAnsi="HP Simplified"/>
          <w:i/>
          <w:iCs/>
          <w:color w:val="404040" w:themeColor="text1" w:themeTint="BF"/>
          <w:sz w:val="24"/>
          <w:szCs w:val="24"/>
        </w:rPr>
        <w:t>(Eptesicus serotinus)”</w:t>
      </w:r>
    </w:p>
    <w:p w14:paraId="42282226" w14:textId="77777777" w:rsidR="003042C8" w:rsidRPr="006B5700" w:rsidRDefault="003042C8" w:rsidP="003042C8">
      <w:pPr>
        <w:spacing w:before="120" w:after="120"/>
        <w:jc w:val="both"/>
        <w:rPr>
          <w:rFonts w:ascii="HP Simplified" w:hAnsi="HP Simplified"/>
          <w:i/>
          <w:color w:val="404040" w:themeColor="text1" w:themeTint="BF"/>
          <w:sz w:val="24"/>
          <w:szCs w:val="24"/>
        </w:rPr>
      </w:pPr>
      <w:r w:rsidRPr="006B5700">
        <w:rPr>
          <w:rFonts w:ascii="HP Simplified" w:hAnsi="HP Simplified"/>
          <w:color w:val="404040" w:themeColor="text1" w:themeTint="BF"/>
          <w:sz w:val="24"/>
          <w:szCs w:val="24"/>
        </w:rPr>
        <w:t>Y esta misma DIA desfavorable añade: “</w:t>
      </w:r>
      <w:r w:rsidRPr="006B5700">
        <w:rPr>
          <w:rFonts w:ascii="HP Simplified" w:hAnsi="HP Simplified"/>
          <w:i/>
          <w:color w:val="404040" w:themeColor="text1" w:themeTint="BF"/>
          <w:sz w:val="24"/>
          <w:szCs w:val="24"/>
        </w:rPr>
        <w:t xml:space="preserve">Por otro lado, destacar que la destrucción o </w:t>
      </w:r>
      <w:r w:rsidRPr="006B5700">
        <w:rPr>
          <w:rFonts w:ascii="HP Simplified" w:hAnsi="HP Simplified"/>
          <w:i/>
          <w:color w:val="404040" w:themeColor="text1" w:themeTint="BF"/>
          <w:sz w:val="24"/>
          <w:szCs w:val="24"/>
          <w:u w:val="single"/>
        </w:rPr>
        <w:t xml:space="preserve">deterioro de lugares de reproducción invernada o reposo de especies protegidas animales está prohibida </w:t>
      </w:r>
      <w:r w:rsidRPr="006B5700">
        <w:rPr>
          <w:rFonts w:ascii="HP Simplified" w:hAnsi="HP Simplified"/>
          <w:i/>
          <w:color w:val="404040" w:themeColor="text1" w:themeTint="BF"/>
          <w:sz w:val="24"/>
          <w:szCs w:val="24"/>
        </w:rPr>
        <w:t>de acuerdo con lo previsto en el artículo 57 de la Ley 42/2007, de 13 de diciembre, del Patrimonio Natural y de la Biodiversidad y tratándose de plantas la de recogerlas, cortarlas, mutilarlas, arrancarlas o destruirlas intencionadamente en la naturaleza.”</w:t>
      </w:r>
    </w:p>
    <w:p w14:paraId="18B2F4B5" w14:textId="77777777" w:rsidR="003042C8" w:rsidRPr="006B5700" w:rsidRDefault="003042C8" w:rsidP="003042C8">
      <w:pPr>
        <w:spacing w:before="120" w:after="120"/>
        <w:ind w:firstLine="708"/>
        <w:jc w:val="both"/>
        <w:rPr>
          <w:rFonts w:ascii="HP Simplified" w:hAnsi="HP Simplified"/>
          <w:color w:val="404040" w:themeColor="text1" w:themeTint="BF"/>
          <w:sz w:val="24"/>
          <w:szCs w:val="24"/>
        </w:rPr>
      </w:pPr>
      <w:r w:rsidRPr="006B5700">
        <w:rPr>
          <w:rFonts w:ascii="HP Simplified" w:hAnsi="HP Simplified"/>
          <w:color w:val="404040" w:themeColor="text1" w:themeTint="BF"/>
          <w:sz w:val="24"/>
          <w:szCs w:val="24"/>
        </w:rPr>
        <w:t>Por su parte, la Resolución de 31 de marzo de 2023, de la Dirección General de Calidad y Evaluación Ambiental, por la que se formula declaración de impacto ambiental del proyecto "Parque eólico Molinaseca, de 60 MW, y su infraestructura de evacuación, en la provincia de León", establece los siguientes criterios: “</w:t>
      </w:r>
      <w:r w:rsidRPr="006B5700">
        <w:rPr>
          <w:rFonts w:ascii="HP Simplified" w:hAnsi="HP Simplified"/>
          <w:i/>
          <w:color w:val="404040" w:themeColor="text1" w:themeTint="BF"/>
          <w:sz w:val="24"/>
          <w:szCs w:val="24"/>
        </w:rPr>
        <w:t xml:space="preserve">La zona de implantación del PE Molinaseca se sitúa </w:t>
      </w:r>
      <w:r w:rsidRPr="006B5700">
        <w:rPr>
          <w:rFonts w:ascii="HP Simplified" w:hAnsi="HP Simplified"/>
          <w:i/>
          <w:color w:val="404040" w:themeColor="text1" w:themeTint="BF"/>
          <w:sz w:val="24"/>
          <w:szCs w:val="24"/>
          <w:u w:val="single"/>
        </w:rPr>
        <w:t>en la proximidad de dos núcleos poblacionales</w:t>
      </w:r>
      <w:r w:rsidRPr="006B5700">
        <w:rPr>
          <w:rFonts w:ascii="HP Simplified" w:hAnsi="HP Simplified"/>
          <w:i/>
          <w:color w:val="404040" w:themeColor="text1" w:themeTint="BF"/>
          <w:sz w:val="24"/>
          <w:szCs w:val="24"/>
        </w:rPr>
        <w:t xml:space="preserve">, Manjarín, al norte, y Prada de la Sierra, al sur respecto al parque eólico, siendo las distancias mínimas en las que se encuentran </w:t>
      </w:r>
      <w:r w:rsidRPr="006B5700">
        <w:rPr>
          <w:rFonts w:ascii="HP Simplified" w:hAnsi="HP Simplified"/>
          <w:i/>
          <w:color w:val="404040" w:themeColor="text1" w:themeTint="BF"/>
          <w:sz w:val="24"/>
          <w:szCs w:val="24"/>
          <w:u w:val="single"/>
        </w:rPr>
        <w:t>la totalidad de los aerogeneradores inferiores a 3 kilómetros.</w:t>
      </w:r>
      <w:r w:rsidRPr="006B5700">
        <w:rPr>
          <w:rFonts w:ascii="HP Simplified" w:hAnsi="HP Simplified"/>
          <w:i/>
          <w:color w:val="404040" w:themeColor="text1" w:themeTint="BF"/>
          <w:sz w:val="24"/>
          <w:szCs w:val="24"/>
        </w:rPr>
        <w:t xml:space="preserve">” ”Como puntos de observación de interés, además del </w:t>
      </w:r>
      <w:r w:rsidRPr="006B5700">
        <w:rPr>
          <w:rFonts w:ascii="HP Simplified" w:hAnsi="HP Simplified"/>
          <w:i/>
          <w:color w:val="404040" w:themeColor="text1" w:themeTint="BF"/>
          <w:sz w:val="24"/>
          <w:szCs w:val="24"/>
          <w:u w:val="single"/>
        </w:rPr>
        <w:t>Camino Francés del Camino de Santiago</w:t>
      </w:r>
      <w:r w:rsidRPr="006B5700">
        <w:rPr>
          <w:rFonts w:ascii="HP Simplified" w:hAnsi="HP Simplified"/>
          <w:i/>
          <w:color w:val="404040" w:themeColor="text1" w:themeTint="BF"/>
          <w:sz w:val="24"/>
          <w:szCs w:val="24"/>
        </w:rPr>
        <w:t xml:space="preserve">, desde el que serán </w:t>
      </w:r>
      <w:r w:rsidRPr="006B5700">
        <w:rPr>
          <w:rFonts w:ascii="HP Simplified" w:hAnsi="HP Simplified"/>
          <w:i/>
          <w:color w:val="404040" w:themeColor="text1" w:themeTint="BF"/>
          <w:sz w:val="24"/>
          <w:szCs w:val="24"/>
          <w:u w:val="single"/>
        </w:rPr>
        <w:t>visibles</w:t>
      </w:r>
      <w:r w:rsidRPr="006B5700">
        <w:rPr>
          <w:rFonts w:ascii="HP Simplified" w:hAnsi="HP Simplified"/>
          <w:i/>
          <w:color w:val="404040" w:themeColor="text1" w:themeTint="BF"/>
          <w:sz w:val="24"/>
          <w:szCs w:val="24"/>
        </w:rPr>
        <w:t xml:space="preserve"> las nuevas infraestructuras del parque eólico en un 53,91 %, existe una visibilidad del parque desde el núcleo de </w:t>
      </w:r>
      <w:r w:rsidRPr="006B5700">
        <w:rPr>
          <w:rFonts w:ascii="HP Simplified" w:hAnsi="HP Simplified"/>
          <w:i/>
          <w:color w:val="404040" w:themeColor="text1" w:themeTint="BF"/>
          <w:sz w:val="24"/>
          <w:szCs w:val="24"/>
        </w:rPr>
        <w:lastRenderedPageBreak/>
        <w:t xml:space="preserve">Manjarín y una visibilidad parcial desde Prada de la Sierra, situándose ambas localidades en la </w:t>
      </w:r>
      <w:r w:rsidRPr="006B5700">
        <w:rPr>
          <w:rFonts w:ascii="HP Simplified" w:hAnsi="HP Simplified"/>
          <w:i/>
          <w:color w:val="404040" w:themeColor="text1" w:themeTint="BF"/>
          <w:sz w:val="24"/>
          <w:szCs w:val="24"/>
          <w:u w:val="single"/>
        </w:rPr>
        <w:t>envolvente de 2 km del PE</w:t>
      </w:r>
      <w:r w:rsidRPr="006B5700">
        <w:rPr>
          <w:rFonts w:ascii="HP Simplified" w:hAnsi="HP Simplified"/>
          <w:i/>
          <w:color w:val="404040" w:themeColor="text1" w:themeTint="BF"/>
          <w:sz w:val="24"/>
          <w:szCs w:val="24"/>
        </w:rPr>
        <w:t xml:space="preserve"> Molinaseca. Sin embargo, </w:t>
      </w:r>
      <w:r w:rsidRPr="006B5700">
        <w:rPr>
          <w:rFonts w:ascii="HP Simplified" w:hAnsi="HP Simplified"/>
          <w:i/>
          <w:color w:val="404040" w:themeColor="text1" w:themeTint="BF"/>
          <w:sz w:val="24"/>
          <w:szCs w:val="24"/>
          <w:u w:val="single"/>
        </w:rPr>
        <w:t>dicho estudio no especifica el porcentaje de visualización de las instalaciones</w:t>
      </w:r>
      <w:r w:rsidRPr="006B5700">
        <w:rPr>
          <w:rFonts w:ascii="HP Simplified" w:hAnsi="HP Simplified"/>
          <w:i/>
          <w:color w:val="404040" w:themeColor="text1" w:themeTint="BF"/>
          <w:sz w:val="24"/>
          <w:szCs w:val="24"/>
        </w:rPr>
        <w:t xml:space="preserve"> del parque respecto a dichos núcleos poblacionales.” “En relación a los </w:t>
      </w:r>
      <w:r w:rsidRPr="006B5700">
        <w:rPr>
          <w:rFonts w:ascii="HP Simplified" w:hAnsi="HP Simplified"/>
          <w:i/>
          <w:color w:val="404040" w:themeColor="text1" w:themeTint="BF"/>
          <w:sz w:val="24"/>
          <w:szCs w:val="24"/>
          <w:u w:val="single"/>
        </w:rPr>
        <w:t>estudios de modelización acústica</w:t>
      </w:r>
      <w:r w:rsidRPr="006B5700">
        <w:rPr>
          <w:rFonts w:ascii="HP Simplified" w:hAnsi="HP Simplified"/>
          <w:i/>
          <w:color w:val="404040" w:themeColor="text1" w:themeTint="BF"/>
          <w:sz w:val="24"/>
          <w:szCs w:val="24"/>
        </w:rPr>
        <w:t xml:space="preserve">, el EsIA concluye que el punto receptor, desde donde se evalúan los niveles sonoros, más afectado es el ubicado en la localidad de Prada de la Sierra, </w:t>
      </w:r>
      <w:r w:rsidRPr="006B5700">
        <w:rPr>
          <w:rFonts w:ascii="HP Simplified" w:hAnsi="HP Simplified"/>
          <w:i/>
          <w:color w:val="404040" w:themeColor="text1" w:themeTint="BF"/>
          <w:sz w:val="24"/>
          <w:szCs w:val="24"/>
          <w:u w:val="single"/>
        </w:rPr>
        <w:t>con una estimación del incremento del nivel de ruido de 5,4 dB(A) en periodo diurno y nocturno</w:t>
      </w:r>
      <w:r w:rsidRPr="006B5700">
        <w:rPr>
          <w:rFonts w:ascii="HP Simplified" w:hAnsi="HP Simplified"/>
          <w:i/>
          <w:color w:val="404040" w:themeColor="text1" w:themeTint="BF"/>
          <w:sz w:val="24"/>
          <w:szCs w:val="24"/>
        </w:rPr>
        <w:t xml:space="preserve">. Este valor, </w:t>
      </w:r>
      <w:r w:rsidRPr="006B5700">
        <w:rPr>
          <w:rFonts w:ascii="HP Simplified" w:hAnsi="HP Simplified"/>
          <w:i/>
          <w:color w:val="404040" w:themeColor="text1" w:themeTint="BF"/>
          <w:sz w:val="24"/>
          <w:szCs w:val="24"/>
          <w:u w:val="single"/>
        </w:rPr>
        <w:t>al ser superior a los 3 dB</w:t>
      </w:r>
      <w:r w:rsidRPr="006B5700">
        <w:rPr>
          <w:rFonts w:ascii="HP Simplified" w:hAnsi="HP Simplified"/>
          <w:i/>
          <w:color w:val="404040" w:themeColor="text1" w:themeTint="BF"/>
          <w:sz w:val="24"/>
          <w:szCs w:val="24"/>
        </w:rPr>
        <w:t xml:space="preserve">(A) y situarse por encima del nivel de ruido de fondo, sería percibido por la población local.” “Se estima una superficie total de tala de 19,55 ha para la línea de evacuación, sin ubicar las zonas afectadas, las especies o tipo de vegetación, entre otras. Por otro lado, </w:t>
      </w:r>
      <w:r w:rsidRPr="006B5700">
        <w:rPr>
          <w:rFonts w:ascii="HP Simplified" w:hAnsi="HP Simplified"/>
          <w:i/>
          <w:color w:val="404040" w:themeColor="text1" w:themeTint="BF"/>
          <w:sz w:val="24"/>
          <w:szCs w:val="24"/>
          <w:u w:val="single"/>
        </w:rPr>
        <w:t>no se expone la superficie susceptible de tala para el parque eólico</w:t>
      </w:r>
      <w:r w:rsidRPr="006B5700">
        <w:rPr>
          <w:rFonts w:ascii="HP Simplified" w:hAnsi="HP Simplified"/>
          <w:i/>
          <w:color w:val="404040" w:themeColor="text1" w:themeTint="BF"/>
          <w:sz w:val="24"/>
          <w:szCs w:val="24"/>
        </w:rPr>
        <w:t xml:space="preserve">. Respecto a las medidas correctoras y compensatorias, el promotor propone un plan de restauración e integración paisajística basado en procesos de hidrosiembra en la zona del parque eólico y plantaciones en, al menos, el 10 % de la superficie de MUP e HIC afectadas por el anteproyecto. Estas propuestas, junto con un plan de compensación a través de la plantación de 100 ejemplares de árboles en terreno público, presentan carencias significativas fundamentadas, principalmente, por la </w:t>
      </w:r>
      <w:r w:rsidRPr="006B5700">
        <w:rPr>
          <w:rFonts w:ascii="HP Simplified" w:hAnsi="HP Simplified"/>
          <w:i/>
          <w:color w:val="404040" w:themeColor="text1" w:themeTint="BF"/>
          <w:sz w:val="24"/>
          <w:szCs w:val="24"/>
          <w:u w:val="single"/>
        </w:rPr>
        <w:t>incertidumbre de las afecciones reales de las instalaciones, la carencia de detalle en la metodología y la ubicación de las medidas propuestas</w:t>
      </w:r>
      <w:r w:rsidRPr="006B5700">
        <w:rPr>
          <w:rFonts w:ascii="HP Simplified" w:hAnsi="HP Simplified"/>
          <w:i/>
          <w:color w:val="404040" w:themeColor="text1" w:themeTint="BF"/>
          <w:sz w:val="24"/>
          <w:szCs w:val="24"/>
        </w:rPr>
        <w:t xml:space="preserve">.” </w:t>
      </w:r>
      <w:r w:rsidRPr="006B5700">
        <w:rPr>
          <w:rFonts w:ascii="HP Simplified" w:hAnsi="HP Simplified"/>
          <w:color w:val="404040" w:themeColor="text1" w:themeTint="BF"/>
          <w:sz w:val="24"/>
          <w:szCs w:val="24"/>
        </w:rPr>
        <w:t xml:space="preserve">La resolución recurrida no mantiene estos criterios pues se repite que se da una proximidad a núcleos de población en la franja de 3km, se da una visibilidad desde el Camino Francés de Santiago (asegurada porque utiliza como ubicaciones de los aerogeneradores, los picos o altos de la montaña) sin especificar el porcentaje de visualización de las infraestructuras del complejo eólico al menos de la línea de evacuación, no se expone la superficie susceptible de tala para el parque eólico, y se da igualmente </w:t>
      </w:r>
      <w:r w:rsidRPr="006B5700">
        <w:rPr>
          <w:rFonts w:ascii="HP Simplified" w:hAnsi="HP Simplified"/>
          <w:color w:val="404040" w:themeColor="text1" w:themeTint="BF"/>
          <w:sz w:val="24"/>
          <w:szCs w:val="24"/>
          <w:u w:val="single"/>
        </w:rPr>
        <w:t>incertidumbre de las afecciones reales de las instalaciones y la carencia de detalle en la metodología y la ubicación de las medidas propuestas</w:t>
      </w:r>
      <w:r w:rsidRPr="006B5700">
        <w:rPr>
          <w:rFonts w:ascii="HP Simplified" w:hAnsi="HP Simplified"/>
          <w:color w:val="404040" w:themeColor="text1" w:themeTint="BF"/>
          <w:sz w:val="24"/>
          <w:szCs w:val="24"/>
        </w:rPr>
        <w:t xml:space="preserve">. Y en el EsIA del presente proyecto directamente ni lleva a cabo una modelización acústica, y sólo maneja datos del fabricante de los aerogeneradores y el factor de la distancia, sin tomar en cuenta factores atmosféricos y climáticos de reflexión de la onda sonora, ni el </w:t>
      </w:r>
      <w:r w:rsidRPr="006B5700">
        <w:rPr>
          <w:rFonts w:ascii="HP Simplified" w:hAnsi="HP Simplified"/>
          <w:b/>
          <w:color w:val="404040" w:themeColor="text1" w:themeTint="BF"/>
          <w:sz w:val="24"/>
          <w:szCs w:val="24"/>
        </w:rPr>
        <w:t>efecto sinérgico y acumulativo</w:t>
      </w:r>
      <w:r w:rsidRPr="006B5700">
        <w:rPr>
          <w:rFonts w:ascii="HP Simplified" w:hAnsi="HP Simplified"/>
          <w:color w:val="404040" w:themeColor="text1" w:themeTint="BF"/>
          <w:sz w:val="24"/>
          <w:szCs w:val="24"/>
        </w:rPr>
        <w:t xml:space="preserve"> con otro tipo de ruidos, como los provenientes de carreteras y de las propias infraestructuras de subestación y línea de evacuación.</w:t>
      </w:r>
    </w:p>
    <w:p w14:paraId="2462829F" w14:textId="77777777" w:rsidR="003042C8" w:rsidRPr="006B5700" w:rsidRDefault="003042C8" w:rsidP="003042C8">
      <w:pPr>
        <w:spacing w:before="120" w:after="120"/>
        <w:ind w:firstLine="708"/>
        <w:jc w:val="both"/>
        <w:rPr>
          <w:rFonts w:ascii="HP Simplified" w:hAnsi="HP Simplified" w:cstheme="minorHAnsi"/>
          <w:color w:val="404040" w:themeColor="text1" w:themeTint="BF"/>
          <w:sz w:val="24"/>
          <w:szCs w:val="24"/>
        </w:rPr>
      </w:pPr>
      <w:r w:rsidRPr="006B5700">
        <w:rPr>
          <w:rFonts w:ascii="HP Simplified" w:hAnsi="HP Simplified"/>
          <w:color w:val="404040" w:themeColor="text1" w:themeTint="BF"/>
          <w:sz w:val="24"/>
          <w:szCs w:val="24"/>
        </w:rPr>
        <w:t xml:space="preserve">Respecto a la fauna, esta misma resolución de DIA desfavorable del PE de Molina, </w:t>
      </w:r>
      <w:r w:rsidRPr="006B5700">
        <w:rPr>
          <w:rFonts w:ascii="HP Simplified" w:hAnsi="HP Simplified"/>
          <w:b/>
          <w:color w:val="404040" w:themeColor="text1" w:themeTint="BF"/>
          <w:sz w:val="24"/>
          <w:szCs w:val="24"/>
        </w:rPr>
        <w:t>reitera como otras DIAs la importancia del Milano real y otras aves rapaces y quirópteros que se encuentran afectados por el presente proyecto</w:t>
      </w:r>
      <w:r w:rsidRPr="006B5700">
        <w:rPr>
          <w:rFonts w:ascii="HP Simplified" w:hAnsi="HP Simplified"/>
          <w:color w:val="404040" w:themeColor="text1" w:themeTint="BF"/>
          <w:sz w:val="24"/>
          <w:szCs w:val="24"/>
        </w:rPr>
        <w:t>, y  establece:</w:t>
      </w:r>
      <w:r w:rsidRPr="006B5700">
        <w:rPr>
          <w:rFonts w:ascii="HP Simplified" w:hAnsi="HP Simplified"/>
          <w:i/>
          <w:color w:val="404040" w:themeColor="text1" w:themeTint="BF"/>
          <w:sz w:val="24"/>
          <w:szCs w:val="24"/>
        </w:rPr>
        <w:t xml:space="preserve"> “El factor ambiental más afectado corresponde con la fauna y, en concreto, los grupos de aves y quirópteros, pues el proyecto se ubica dentro del área de distribución de varias especies amenazadas, siendo un tipo de infraestructura de gran impacto en las poblaciones de estos grupos faunísticos. Concretamente, el milano real (Milvus milvus) es el que muestra una mayor afección por el parque, con un 32,4 % de probabilidad de afección por la mortalidad generada por los aerogeneradores en funcionamiento, siendo 2,271 individuos al año el Índice de Riesgo de Colisión (IRE).Estos valores son incompatibles con la conservación de los valores faunísticos de la zona de estudio que, teniendo en cuenta el efecto acumulativo y sinérgico con los parques eólicos en funcionamiento en un radio de 10 km, se alcanzan un total de 48,78 aves al año, siendo el PE Molinaseca el que registraría el mayor número de colisiones, según las </w:t>
      </w:r>
      <w:r w:rsidRPr="006B5700">
        <w:rPr>
          <w:rFonts w:ascii="HP Simplified" w:hAnsi="HP Simplified"/>
          <w:i/>
          <w:color w:val="404040" w:themeColor="text1" w:themeTint="BF"/>
          <w:sz w:val="24"/>
          <w:szCs w:val="24"/>
        </w:rPr>
        <w:lastRenderedPageBreak/>
        <w:t xml:space="preserve">estimaciones. (…) En este sentido, cabe mencionar el artículo 57.1 de la Ley 42/2007, del Patrimonio Natural y de la Biodiversidad, según el cual «La inclusión en el Listado de Especies Silvestres en Régimen de Protección Especial de una especie, subespecie o población conlleva las siguientes prohibiciones genéricas: (…) b) Tratándose de animales, incluidas sus larvas, crías, o huevos, la de cualquier actuación hecha con el propósito de darles muerte, capturarlos, perseguirlos o molestarlos, así como la destrucción o deterioro de sus nidos, vivares y lugares de reproducción, invernada o reposo».(…) </w:t>
      </w:r>
      <w:r w:rsidRPr="006B5700">
        <w:rPr>
          <w:rFonts w:ascii="HP Simplified" w:hAnsi="HP Simplified"/>
          <w:i/>
          <w:color w:val="404040" w:themeColor="text1" w:themeTint="BF"/>
          <w:sz w:val="24"/>
          <w:szCs w:val="24"/>
          <w:u w:val="single"/>
        </w:rPr>
        <w:t>Conviene destacar que la pérdida de masa arbórea debido a la implantación del proyecto, conllevará la pérdida de hábitat y desplazamiento de la comunidad avifaunística asociada que, según los datos obtenidos por el estudio de avifauna aportado, el grueso de las observaciones de aves registradas se encuentra ligada a esta tipología de entorno.(</w:t>
      </w:r>
      <w:r w:rsidRPr="006B5700">
        <w:rPr>
          <w:rFonts w:ascii="HP Simplified" w:hAnsi="HP Simplified"/>
          <w:i/>
          <w:color w:val="404040" w:themeColor="text1" w:themeTint="BF"/>
          <w:sz w:val="24"/>
          <w:szCs w:val="24"/>
        </w:rPr>
        <w:t xml:space="preserve">…) Referente a las medidas correctoras y compensatorias, el promotor en su EsIA propone </w:t>
      </w:r>
      <w:r w:rsidRPr="006B5700">
        <w:rPr>
          <w:rFonts w:ascii="HP Simplified" w:hAnsi="HP Simplified"/>
          <w:b/>
          <w:i/>
          <w:color w:val="404040" w:themeColor="text1" w:themeTint="BF"/>
          <w:sz w:val="24"/>
          <w:szCs w:val="24"/>
        </w:rPr>
        <w:t>medidas correctoras generalistas, sin entrar en detalle de la metodología empleada</w:t>
      </w:r>
      <w:r w:rsidRPr="006B5700">
        <w:rPr>
          <w:rFonts w:ascii="HP Simplified" w:hAnsi="HP Simplified"/>
          <w:i/>
          <w:color w:val="404040" w:themeColor="text1" w:themeTint="BF"/>
          <w:sz w:val="24"/>
          <w:szCs w:val="24"/>
        </w:rPr>
        <w:t>, además de no llevar a cabo una diferenciación entre especie y categoría de protección. Además, no se registra ningún plan de compensación frente al impacto significativo sobre la población de aves planeadora”</w:t>
      </w:r>
    </w:p>
    <w:p w14:paraId="7239D072" w14:textId="77777777" w:rsidR="003042C8" w:rsidRPr="001F1B81" w:rsidRDefault="003042C8" w:rsidP="003042C8">
      <w:pPr>
        <w:spacing w:before="120" w:after="120" w:line="240" w:lineRule="auto"/>
        <w:jc w:val="both"/>
        <w:rPr>
          <w:rFonts w:ascii="HP Simplified" w:eastAsia="Times New Roman" w:hAnsi="HP Simplified" w:cstheme="minorHAnsi"/>
          <w:b/>
          <w:color w:val="000000" w:themeColor="text1"/>
          <w:sz w:val="24"/>
          <w:szCs w:val="24"/>
          <w:lang w:eastAsia="es-ES"/>
        </w:rPr>
      </w:pPr>
      <w:r w:rsidRPr="001F1B81">
        <w:rPr>
          <w:rFonts w:ascii="HP Simplified" w:eastAsia="Times New Roman" w:hAnsi="HP Simplified" w:cstheme="minorHAnsi"/>
          <w:b/>
          <w:sz w:val="24"/>
          <w:szCs w:val="24"/>
          <w:lang w:eastAsia="es-ES"/>
        </w:rPr>
        <w:t>Octavo</w:t>
      </w:r>
      <w:r w:rsidRPr="001F1B81">
        <w:rPr>
          <w:rFonts w:ascii="HP Simplified" w:eastAsia="Times New Roman" w:hAnsi="HP Simplified" w:cstheme="minorHAnsi"/>
          <w:sz w:val="24"/>
          <w:szCs w:val="24"/>
          <w:lang w:eastAsia="es-ES"/>
        </w:rPr>
        <w:t xml:space="preserve">- La resolución impugnada en este recurso infringe el </w:t>
      </w:r>
      <w:r w:rsidRPr="001F1B81">
        <w:rPr>
          <w:rFonts w:ascii="HP Simplified" w:eastAsia="Times New Roman" w:hAnsi="HP Simplified" w:cstheme="minorHAnsi"/>
          <w:color w:val="000000" w:themeColor="text1"/>
          <w:sz w:val="24"/>
          <w:szCs w:val="24"/>
          <w:lang w:eastAsia="es-ES"/>
        </w:rPr>
        <w:t xml:space="preserve">ordenamiento jurídico respecto a la protección y regulación de las </w:t>
      </w:r>
      <w:r w:rsidRPr="001F1B81">
        <w:rPr>
          <w:rFonts w:ascii="HP Simplified" w:eastAsia="Times New Roman" w:hAnsi="HP Simplified" w:cstheme="minorHAnsi"/>
          <w:b/>
          <w:color w:val="000000" w:themeColor="text1"/>
          <w:sz w:val="24"/>
          <w:szCs w:val="24"/>
          <w:lang w:eastAsia="es-ES"/>
        </w:rPr>
        <w:t>AGUAS.</w:t>
      </w:r>
    </w:p>
    <w:p w14:paraId="2EFE9895" w14:textId="77777777" w:rsidR="003042C8" w:rsidRPr="006B5700" w:rsidRDefault="003042C8" w:rsidP="003042C8">
      <w:pPr>
        <w:spacing w:before="120" w:after="120" w:line="240" w:lineRule="auto"/>
        <w:jc w:val="both"/>
        <w:rPr>
          <w:rFonts w:ascii="HP Simplified" w:eastAsia="Times New Roman" w:hAnsi="HP Simplified" w:cstheme="minorHAnsi"/>
          <w:b/>
          <w:color w:val="404040" w:themeColor="text1" w:themeTint="BF"/>
          <w:sz w:val="24"/>
          <w:szCs w:val="24"/>
          <w:lang w:eastAsia="es-ES"/>
        </w:rPr>
      </w:pPr>
      <w:r w:rsidRPr="006B5700">
        <w:rPr>
          <w:rFonts w:ascii="HP Simplified" w:eastAsia="Times New Roman" w:hAnsi="HP Simplified" w:cstheme="minorHAnsi"/>
          <w:color w:val="404040" w:themeColor="text1" w:themeTint="BF"/>
          <w:sz w:val="24"/>
          <w:szCs w:val="24"/>
          <w:lang w:eastAsia="es-ES"/>
        </w:rPr>
        <w:t>El proyecto afecta y vulnera la normativa relativa a la protección de agua, ya que las “</w:t>
      </w:r>
      <w:r w:rsidRPr="006B5700">
        <w:rPr>
          <w:rFonts w:ascii="HP Simplified" w:eastAsia="Times New Roman" w:hAnsi="HP Simplified" w:cstheme="minorHAnsi"/>
          <w:i/>
          <w:color w:val="404040" w:themeColor="text1" w:themeTint="BF"/>
          <w:sz w:val="24"/>
          <w:szCs w:val="24"/>
          <w:lang w:eastAsia="es-ES"/>
        </w:rPr>
        <w:t>las pistas de acceso existentes atraviesan el arroyo de Rodrigatos y el arroyo de Valmenor.”</w:t>
      </w:r>
      <w:r w:rsidRPr="006B5700">
        <w:rPr>
          <w:rFonts w:ascii="HP Simplified" w:eastAsia="Times New Roman" w:hAnsi="HP Simplified" w:cstheme="minorHAnsi"/>
          <w:color w:val="404040" w:themeColor="text1" w:themeTint="BF"/>
          <w:sz w:val="24"/>
          <w:szCs w:val="24"/>
          <w:lang w:eastAsia="es-ES"/>
        </w:rPr>
        <w:t>, según la propia Resolución de Autorización en el anexo de su DIA. E igualmente la Declaración de Impacto Ambiental en su</w:t>
      </w:r>
      <w:r w:rsidRPr="006B5700">
        <w:rPr>
          <w:rFonts w:ascii="HP Simplified" w:hAnsi="HP Simplified" w:cstheme="minorHAnsi"/>
          <w:color w:val="404040" w:themeColor="text1" w:themeTint="BF"/>
          <w:sz w:val="24"/>
          <w:szCs w:val="24"/>
        </w:rPr>
        <w:t xml:space="preserve"> página 14/22 reconoce: “</w:t>
      </w:r>
      <w:r w:rsidRPr="006B5700">
        <w:rPr>
          <w:rFonts w:ascii="HP Simplified" w:hAnsi="HP Simplified" w:cstheme="minorHAnsi"/>
          <w:i/>
          <w:color w:val="404040" w:themeColor="text1" w:themeTint="BF"/>
          <w:sz w:val="24"/>
          <w:szCs w:val="24"/>
        </w:rPr>
        <w:t xml:space="preserve">Durante la ejecución de las obras, en tramos cercanos a las carreteras, se tendrá en cuenta la </w:t>
      </w:r>
      <w:r w:rsidRPr="006B5700">
        <w:rPr>
          <w:rFonts w:ascii="HP Simplified" w:hAnsi="HP Simplified" w:cstheme="minorHAnsi"/>
          <w:i/>
          <w:color w:val="404040" w:themeColor="text1" w:themeTint="BF"/>
          <w:sz w:val="24"/>
          <w:szCs w:val="24"/>
          <w:u w:val="single"/>
        </w:rPr>
        <w:t>posible modificación de escorrentías que pueda afectar al drenaje longitudinal y transversal</w:t>
      </w:r>
      <w:r w:rsidRPr="006B5700">
        <w:rPr>
          <w:rFonts w:ascii="HP Simplified" w:hAnsi="HP Simplified" w:cstheme="minorHAnsi"/>
          <w:i/>
          <w:color w:val="404040" w:themeColor="text1" w:themeTint="BF"/>
          <w:sz w:val="24"/>
          <w:szCs w:val="24"/>
        </w:rPr>
        <w:t xml:space="preserve"> de la misma. Asimismo, se evitarán molestias o peligros que las obras o los materiales de ellas derivados pudieran ocasionar a la circulación</w:t>
      </w:r>
      <w:r w:rsidRPr="006B5700">
        <w:rPr>
          <w:rFonts w:ascii="HP Simplified" w:hAnsi="HP Simplified" w:cstheme="minorHAnsi"/>
          <w:color w:val="404040" w:themeColor="text1" w:themeTint="BF"/>
          <w:sz w:val="24"/>
          <w:szCs w:val="24"/>
        </w:rPr>
        <w:t>.”</w:t>
      </w:r>
    </w:p>
    <w:p w14:paraId="783046A5" w14:textId="77777777" w:rsidR="003042C8" w:rsidRPr="001F1B81" w:rsidRDefault="003042C8" w:rsidP="003042C8">
      <w:pPr>
        <w:pStyle w:val="Normal1"/>
        <w:spacing w:before="120" w:after="120"/>
        <w:ind w:firstLine="708"/>
        <w:jc w:val="both"/>
        <w:rPr>
          <w:rFonts w:ascii="HP Simplified" w:eastAsia="Arial" w:hAnsi="HP Simplified" w:cstheme="minorHAnsi"/>
          <w:i/>
          <w:color w:val="000000"/>
        </w:rPr>
      </w:pPr>
      <w:r w:rsidRPr="006B5700">
        <w:rPr>
          <w:rFonts w:ascii="HP Simplified" w:eastAsia="Times New Roman" w:hAnsi="HP Simplified" w:cstheme="minorHAnsi"/>
          <w:color w:val="404040" w:themeColor="text1" w:themeTint="BF"/>
        </w:rPr>
        <w:t xml:space="preserve">No sólo es más que probable la afectación de la calidad de las aguas que abastecen a los pueblos de la zona por incremento de sólidos en suspensión u otros, si no que se comenta en la resolución la posible interrupción de la red de drenaje superficial o modificación de escorrentías, que de la misma manera es más que probable debido a la compactación del suelo de los viales por el paso de maquinaria pesada, plataformas, zonas de acopio y zanjas; cimentación de los aerogeneradores, apoyos de la línea y torres meteorológicas; construcción de las subestaciones, así como el mantenimiento del PE. Sin embargo, </w:t>
      </w:r>
      <w:r w:rsidRPr="006B5700">
        <w:rPr>
          <w:rFonts w:ascii="HP Simplified" w:eastAsia="Times New Roman" w:hAnsi="HP Simplified" w:cstheme="minorHAnsi"/>
          <w:b/>
          <w:color w:val="404040" w:themeColor="text1" w:themeTint="BF"/>
        </w:rPr>
        <w:t>no se ha estudiado cómo puede verse modificada la escorrentía, a pesar de que se reconoce el riesgo.</w:t>
      </w:r>
      <w:r w:rsidRPr="006B5700">
        <w:rPr>
          <w:rFonts w:ascii="HP Simplified" w:eastAsia="Times New Roman" w:hAnsi="HP Simplified" w:cstheme="minorHAnsi"/>
          <w:color w:val="404040" w:themeColor="text1" w:themeTint="BF"/>
        </w:rPr>
        <w:t xml:space="preserve"> Dada la interrupción de la red de drenaje superficial </w:t>
      </w:r>
      <w:r w:rsidRPr="006B5700">
        <w:rPr>
          <w:rFonts w:ascii="HP Simplified" w:eastAsia="Times New Roman" w:hAnsi="HP Simplified" w:cstheme="minorHAnsi"/>
          <w:b/>
          <w:color w:val="404040" w:themeColor="text1" w:themeTint="BF"/>
        </w:rPr>
        <w:t>podrían verse afectadas masas de agua subterránea</w:t>
      </w:r>
      <w:r w:rsidRPr="006B5700">
        <w:rPr>
          <w:rFonts w:ascii="HP Simplified" w:eastAsia="Times New Roman" w:hAnsi="HP Simplified" w:cstheme="minorHAnsi"/>
          <w:color w:val="404040" w:themeColor="text1" w:themeTint="BF"/>
        </w:rPr>
        <w:t xml:space="preserve">, pero tampoco se estudia su afectación. No obstante, el </w:t>
      </w:r>
      <w:r w:rsidRPr="006B5700">
        <w:rPr>
          <w:rFonts w:ascii="HP Simplified" w:eastAsia="Arial" w:hAnsi="HP Simplified" w:cstheme="minorHAnsi"/>
          <w:color w:val="404040" w:themeColor="text1" w:themeTint="BF"/>
        </w:rPr>
        <w:t>Artículo 14 del Real Decreto</w:t>
      </w:r>
      <w:r w:rsidRPr="001F1B81">
        <w:rPr>
          <w:rFonts w:ascii="HP Simplified" w:eastAsia="Arial" w:hAnsi="HP Simplified" w:cstheme="minorHAnsi"/>
          <w:color w:val="000000"/>
        </w:rPr>
        <w:t xml:space="preserve"> Legislativo 1/2001, de 20 de julio, por el que se aprueba el texto refundido de la Ley de Aguas marca como </w:t>
      </w:r>
      <w:r w:rsidRPr="001F1B81">
        <w:rPr>
          <w:rFonts w:ascii="HP Simplified" w:eastAsia="Arial" w:hAnsi="HP Simplified" w:cstheme="minorHAnsi"/>
          <w:i/>
          <w:color w:val="000000"/>
        </w:rPr>
        <w:t>principios:</w:t>
      </w:r>
    </w:p>
    <w:p w14:paraId="6F1322D2" w14:textId="77777777" w:rsidR="003042C8" w:rsidRPr="001F1B81" w:rsidRDefault="003042C8" w:rsidP="003042C8">
      <w:pPr>
        <w:pStyle w:val="Normal1"/>
        <w:spacing w:before="120" w:after="120"/>
        <w:jc w:val="both"/>
        <w:rPr>
          <w:rFonts w:ascii="HP Simplified" w:eastAsia="Arial" w:hAnsi="HP Simplified" w:cstheme="minorHAnsi"/>
          <w:i/>
          <w:color w:val="000000"/>
        </w:rPr>
      </w:pPr>
      <w:r w:rsidRPr="001F1B81">
        <w:rPr>
          <w:rFonts w:ascii="HP Simplified" w:eastAsia="Arial" w:hAnsi="HP Simplified" w:cstheme="minorHAnsi"/>
          <w:i/>
          <w:color w:val="000000"/>
        </w:rPr>
        <w:t>1.º Unidad de gestión, tratamiento integral, economía del agua, desconcentración, descentralización, coordinación, eficacia y participación de los usuarios.</w:t>
      </w:r>
    </w:p>
    <w:p w14:paraId="4C2BCE4C" w14:textId="77777777" w:rsidR="003042C8" w:rsidRPr="001F1B81" w:rsidRDefault="003042C8" w:rsidP="003042C8">
      <w:pPr>
        <w:pStyle w:val="Normal1"/>
        <w:spacing w:before="120" w:after="120"/>
        <w:jc w:val="both"/>
        <w:rPr>
          <w:rFonts w:ascii="HP Simplified" w:eastAsia="Arial" w:hAnsi="HP Simplified" w:cstheme="minorHAnsi"/>
          <w:i/>
          <w:color w:val="000000"/>
        </w:rPr>
      </w:pPr>
      <w:r w:rsidRPr="001F1B81">
        <w:rPr>
          <w:rFonts w:ascii="HP Simplified" w:eastAsia="Arial" w:hAnsi="HP Simplified" w:cstheme="minorHAnsi"/>
          <w:i/>
          <w:color w:val="000000"/>
        </w:rPr>
        <w:t>2.º Respeto a la unidad de la cuenca hidrográfica, de los sistemas hidráulicos y del ciclo hidrológico.</w:t>
      </w:r>
    </w:p>
    <w:p w14:paraId="479604C3" w14:textId="77777777" w:rsidR="003042C8" w:rsidRPr="001F1B81" w:rsidRDefault="003042C8" w:rsidP="003042C8">
      <w:pPr>
        <w:pStyle w:val="Normal1"/>
        <w:spacing w:before="120" w:after="120"/>
        <w:jc w:val="both"/>
        <w:rPr>
          <w:rFonts w:ascii="HP Simplified" w:eastAsia="Arial" w:hAnsi="HP Simplified" w:cstheme="minorHAnsi"/>
          <w:color w:val="000000"/>
        </w:rPr>
      </w:pPr>
      <w:r w:rsidRPr="001F1B81">
        <w:rPr>
          <w:rFonts w:ascii="HP Simplified" w:eastAsia="Arial" w:hAnsi="HP Simplified" w:cstheme="minorHAnsi"/>
          <w:i/>
          <w:color w:val="000000"/>
        </w:rPr>
        <w:t>3.º Compatibilidad de la gestión pública del agua con la ordenación del territorio, la conservación y protección del medio ambiente y la restauración de la naturaleza</w:t>
      </w:r>
      <w:r w:rsidRPr="001F1B81">
        <w:rPr>
          <w:rFonts w:ascii="HP Simplified" w:eastAsia="Arial" w:hAnsi="HP Simplified" w:cstheme="minorHAnsi"/>
          <w:color w:val="000000"/>
        </w:rPr>
        <w:t>.”</w:t>
      </w:r>
    </w:p>
    <w:p w14:paraId="61418DCC" w14:textId="77777777" w:rsidR="003042C8" w:rsidRPr="001F1B81" w:rsidRDefault="003042C8" w:rsidP="003042C8">
      <w:pPr>
        <w:spacing w:before="120" w:after="120" w:line="240" w:lineRule="auto"/>
        <w:ind w:firstLine="360"/>
        <w:jc w:val="both"/>
        <w:rPr>
          <w:rFonts w:ascii="HP Simplified" w:eastAsia="Times New Roman" w:hAnsi="HP Simplified" w:cstheme="minorHAnsi"/>
          <w:color w:val="000000" w:themeColor="text1"/>
          <w:sz w:val="24"/>
          <w:szCs w:val="24"/>
          <w:lang w:eastAsia="es-ES"/>
        </w:rPr>
      </w:pPr>
      <w:r w:rsidRPr="001F1B81">
        <w:rPr>
          <w:rFonts w:ascii="HP Simplified" w:eastAsia="Times New Roman" w:hAnsi="HP Simplified" w:cstheme="minorHAnsi"/>
          <w:color w:val="000000" w:themeColor="text1"/>
          <w:sz w:val="24"/>
          <w:szCs w:val="24"/>
          <w:lang w:eastAsia="es-ES"/>
        </w:rPr>
        <w:lastRenderedPageBreak/>
        <w:t>Así mismo, la Ley 9/2018, de 5 de diciembre, por la que se modifica la Ley 21/2013, de 9 de diciembre, de evaluación ambiental, establece: "</w:t>
      </w:r>
      <w:r w:rsidRPr="001F1B81">
        <w:rPr>
          <w:rFonts w:ascii="HP Simplified" w:eastAsia="Times New Roman" w:hAnsi="HP Simplified" w:cstheme="minorHAnsi"/>
          <w:i/>
          <w:color w:val="000000" w:themeColor="text1"/>
          <w:sz w:val="24"/>
          <w:szCs w:val="24"/>
          <w:lang w:eastAsia="es-ES"/>
        </w:rPr>
        <w:t>Cuando el proyecto pueda causar a largo plazo una modificación hidromorfológica en una masa de agua superficial o una alteración del nivel en una masa de agua subterránea que puedan impedir que alcance el buen estado o potencial, o que pueda suponer un deterioro de su estado o potencial, se incluirá un apartado específico para la evaluación de sus repercusiones a largo plazo sobre los elementos de calidad que definen el estado o potencial de las masas de agua afectadas</w:t>
      </w:r>
      <w:r w:rsidRPr="001F1B81">
        <w:rPr>
          <w:rFonts w:ascii="HP Simplified" w:eastAsia="Times New Roman" w:hAnsi="HP Simplified" w:cstheme="minorHAnsi"/>
          <w:color w:val="000000" w:themeColor="text1"/>
          <w:sz w:val="24"/>
          <w:szCs w:val="24"/>
          <w:lang w:eastAsia="es-ES"/>
        </w:rPr>
        <w:t>."</w:t>
      </w:r>
    </w:p>
    <w:p w14:paraId="2AE9A699" w14:textId="77777777" w:rsidR="003042C8" w:rsidRPr="006B5700" w:rsidRDefault="003042C8" w:rsidP="003042C8">
      <w:pPr>
        <w:autoSpaceDE w:val="0"/>
        <w:autoSpaceDN w:val="0"/>
        <w:adjustRightInd w:val="0"/>
        <w:spacing w:before="120" w:after="120" w:line="240" w:lineRule="auto"/>
        <w:ind w:firstLine="360"/>
        <w:jc w:val="both"/>
        <w:rPr>
          <w:rFonts w:ascii="HP Simplified" w:hAnsi="HP Simplified" w:cstheme="minorHAnsi"/>
          <w:color w:val="404040" w:themeColor="text1" w:themeTint="BF"/>
          <w:sz w:val="24"/>
          <w:szCs w:val="24"/>
        </w:rPr>
      </w:pPr>
      <w:r w:rsidRPr="006B5700">
        <w:rPr>
          <w:rFonts w:ascii="HP Simplified" w:hAnsi="HP Simplified" w:cstheme="minorHAnsi"/>
          <w:color w:val="404040" w:themeColor="text1" w:themeTint="BF"/>
          <w:sz w:val="24"/>
          <w:szCs w:val="24"/>
        </w:rPr>
        <w:t>Debido a esta falta de profundización del Estudio de Impacto Ambiental en materia de aguas, los organismos de cuenca no establecen más que una serie de “</w:t>
      </w:r>
      <w:r w:rsidRPr="006B5700">
        <w:rPr>
          <w:rFonts w:ascii="HP Simplified" w:hAnsi="HP Simplified" w:cstheme="minorHAnsi"/>
          <w:color w:val="404040" w:themeColor="text1" w:themeTint="BF"/>
          <w:sz w:val="24"/>
          <w:szCs w:val="24"/>
          <w:u w:val="single"/>
        </w:rPr>
        <w:t>consideraciones generales</w:t>
      </w:r>
      <w:r w:rsidRPr="006B5700">
        <w:rPr>
          <w:rFonts w:ascii="HP Simplified" w:hAnsi="HP Simplified" w:cstheme="minorHAnsi"/>
          <w:color w:val="404040" w:themeColor="text1" w:themeTint="BF"/>
          <w:sz w:val="24"/>
          <w:szCs w:val="24"/>
        </w:rPr>
        <w:t>”, como las califica la propia resolución de autorización recurrida, del tipo “</w:t>
      </w:r>
      <w:r w:rsidRPr="006B5700">
        <w:rPr>
          <w:rFonts w:ascii="HP Simplified" w:hAnsi="HP Simplified"/>
          <w:color w:val="404040" w:themeColor="text1" w:themeTint="BF"/>
          <w:sz w:val="24"/>
          <w:szCs w:val="24"/>
        </w:rPr>
        <w:t>se tomarán las medidas necesarias para evitar los procesos erosivos y de contaminación del agua.”</w:t>
      </w:r>
      <w:r w:rsidRPr="006B5700">
        <w:rPr>
          <w:rFonts w:ascii="HP Simplified" w:hAnsi="HP Simplified" w:cstheme="minorHAnsi"/>
          <w:color w:val="404040" w:themeColor="text1" w:themeTint="BF"/>
          <w:sz w:val="24"/>
          <w:szCs w:val="24"/>
        </w:rPr>
        <w:t>: “</w:t>
      </w:r>
      <w:r w:rsidRPr="006B5700">
        <w:rPr>
          <w:rFonts w:ascii="HP Simplified" w:hAnsi="HP Simplified" w:cstheme="minorHAnsi"/>
          <w:i/>
          <w:color w:val="404040" w:themeColor="text1" w:themeTint="BF"/>
          <w:sz w:val="24"/>
          <w:szCs w:val="24"/>
        </w:rPr>
        <w:t>h) Protección de las aguas.  Con carácter general no podrán interceptarse ni modificarse cauces públicos en cualquiera de sus dimensiones espaciales, debiendo solicitar el promotor de la actuación autorización expresa ante el organismo de cuenca correspondiente para la realización de las obras que afecten a los cauces públicos y a sus zonas de servidumbre y policía.(…)</w:t>
      </w:r>
      <w:r w:rsidRPr="006B5700">
        <w:rPr>
          <w:rFonts w:ascii="HP Simplified" w:hAnsi="HP Simplified"/>
          <w:color w:val="404040" w:themeColor="text1" w:themeTint="BF"/>
          <w:sz w:val="24"/>
          <w:szCs w:val="24"/>
        </w:rPr>
        <w:t xml:space="preserve"> </w:t>
      </w:r>
      <w:r w:rsidRPr="006B5700">
        <w:rPr>
          <w:rFonts w:ascii="HP Simplified" w:hAnsi="HP Simplified" w:cstheme="minorHAnsi"/>
          <w:i/>
          <w:color w:val="404040" w:themeColor="text1" w:themeTint="BF"/>
          <w:sz w:val="24"/>
          <w:szCs w:val="24"/>
        </w:rPr>
        <w:t xml:space="preserve">En la ejecución de las obras de drenaje, de los nuevos viales se debe garantizar la debida permeabilidad independientemente de la existencia de cauce definido, o no. No se concentrarán varios cauces en una sola obra de drenaje, debiéndose realizar una obra para cada cauce, respetando la capacidad de desagüe de los mismos sin que se produzcan incorporaciones de agua de otros cauces naturales o por recepción de aguas pluviales. En caso de posibles daños o alteraciones del drenaje natural del terreno, por las obras de infraestructura, remodelación y construcción de accesos u otras anejas al parque, estos serán responsabilidad de la empresa promotora, debiendo restaurarse la zona afectada adecuadamente.   Se deberán </w:t>
      </w:r>
      <w:r w:rsidRPr="006B5700">
        <w:rPr>
          <w:rFonts w:ascii="HP Simplified" w:hAnsi="HP Simplified" w:cstheme="minorHAnsi"/>
          <w:b/>
          <w:i/>
          <w:color w:val="404040" w:themeColor="text1" w:themeTint="BF"/>
          <w:sz w:val="24"/>
          <w:szCs w:val="24"/>
        </w:rPr>
        <w:t>excluir de la zona de actuación las posibles surgencias</w:t>
      </w:r>
      <w:r w:rsidRPr="006B5700">
        <w:rPr>
          <w:rFonts w:ascii="HP Simplified" w:hAnsi="HP Simplified" w:cstheme="minorHAnsi"/>
          <w:i/>
          <w:color w:val="404040" w:themeColor="text1" w:themeTint="BF"/>
          <w:sz w:val="24"/>
          <w:szCs w:val="24"/>
        </w:rPr>
        <w:t xml:space="preserve"> naturales debiéndose diseñar un plan de actuación para estas zonas. En cuanto al posible alumbramiento de </w:t>
      </w:r>
      <w:r w:rsidRPr="006B5700">
        <w:rPr>
          <w:rFonts w:ascii="HP Simplified" w:hAnsi="HP Simplified" w:cstheme="minorHAnsi"/>
          <w:b/>
          <w:i/>
          <w:color w:val="404040" w:themeColor="text1" w:themeTint="BF"/>
          <w:sz w:val="24"/>
          <w:szCs w:val="24"/>
        </w:rPr>
        <w:t>aguas subterráneas</w:t>
      </w:r>
      <w:r w:rsidRPr="006B5700">
        <w:rPr>
          <w:rFonts w:ascii="HP Simplified" w:hAnsi="HP Simplified" w:cstheme="minorHAnsi"/>
          <w:i/>
          <w:color w:val="404040" w:themeColor="text1" w:themeTint="BF"/>
          <w:sz w:val="24"/>
          <w:szCs w:val="24"/>
        </w:rPr>
        <w:t>, se atenderá a lo dispuesto en los artículos 16 y 316.c del reglamento del Dominio Público Hidráulico</w:t>
      </w:r>
      <w:r w:rsidRPr="006B5700">
        <w:rPr>
          <w:rFonts w:ascii="HP Simplified" w:hAnsi="HP Simplified" w:cstheme="minorHAnsi"/>
          <w:color w:val="404040" w:themeColor="text1" w:themeTint="BF"/>
          <w:sz w:val="24"/>
          <w:szCs w:val="24"/>
        </w:rPr>
        <w:t xml:space="preserve">.” Dada esta generalidad, con qué garantías podemos contar respecto de la protección de las aguas que se verán afectadas por la ejecución del presente proyecto: </w:t>
      </w:r>
      <w:r w:rsidRPr="006B5700">
        <w:rPr>
          <w:rFonts w:ascii="HP Simplified" w:eastAsia="Times New Roman" w:hAnsi="HP Simplified" w:cstheme="minorHAnsi"/>
          <w:i/>
          <w:color w:val="404040" w:themeColor="text1" w:themeTint="BF"/>
          <w:sz w:val="24"/>
          <w:szCs w:val="24"/>
          <w:lang w:eastAsia="es-ES"/>
        </w:rPr>
        <w:t>arroyo de Rodrigatos y el arroyo de Valmenor</w:t>
      </w:r>
      <w:r w:rsidRPr="006B5700">
        <w:rPr>
          <w:rFonts w:ascii="HP Simplified" w:hAnsi="HP Simplified" w:cstheme="minorHAnsi"/>
          <w:color w:val="404040" w:themeColor="text1" w:themeTint="BF"/>
          <w:sz w:val="24"/>
          <w:szCs w:val="24"/>
        </w:rPr>
        <w:t>.</w:t>
      </w:r>
    </w:p>
    <w:p w14:paraId="60A90D1A" w14:textId="77777777" w:rsidR="003042C8" w:rsidRPr="001F1B81" w:rsidRDefault="003042C8" w:rsidP="003042C8">
      <w:pPr>
        <w:autoSpaceDE w:val="0"/>
        <w:autoSpaceDN w:val="0"/>
        <w:adjustRightInd w:val="0"/>
        <w:spacing w:before="120" w:after="120" w:line="240" w:lineRule="auto"/>
        <w:ind w:firstLine="360"/>
        <w:jc w:val="both"/>
        <w:rPr>
          <w:rFonts w:ascii="HP Simplified" w:hAnsi="HP Simplified" w:cstheme="minorHAnsi"/>
          <w:color w:val="000000"/>
          <w:sz w:val="24"/>
          <w:szCs w:val="24"/>
        </w:rPr>
      </w:pPr>
      <w:r w:rsidRPr="001F1B81">
        <w:rPr>
          <w:rFonts w:ascii="HP Simplified" w:hAnsi="HP Simplified" w:cstheme="minorHAnsi"/>
          <w:sz w:val="24"/>
          <w:szCs w:val="24"/>
        </w:rPr>
        <w:t>Y en su página 13/22 añade: “</w:t>
      </w:r>
      <w:r w:rsidRPr="001F1B81">
        <w:rPr>
          <w:rFonts w:ascii="HP Simplified" w:hAnsi="HP Simplified" w:cstheme="minorHAnsi"/>
          <w:i/>
          <w:sz w:val="24"/>
          <w:szCs w:val="24"/>
        </w:rPr>
        <w:t xml:space="preserve">Al localizarse el proyecto en la </w:t>
      </w:r>
      <w:r w:rsidRPr="001F1B81">
        <w:rPr>
          <w:rFonts w:ascii="HP Simplified" w:hAnsi="HP Simplified" w:cstheme="minorHAnsi"/>
          <w:i/>
          <w:sz w:val="24"/>
          <w:szCs w:val="24"/>
          <w:u w:val="single"/>
        </w:rPr>
        <w:t>proximidad de varias cabeceras de cauces</w:t>
      </w:r>
      <w:r w:rsidRPr="001F1B81">
        <w:rPr>
          <w:rFonts w:ascii="HP Simplified" w:hAnsi="HP Simplified" w:cstheme="minorHAnsi"/>
          <w:i/>
          <w:sz w:val="24"/>
          <w:szCs w:val="24"/>
        </w:rPr>
        <w:t xml:space="preserve"> los movimientos de tierras que se realicen pueden llevar asociados procesos de arrastre de materiales por escorrentía y su posterior sedimentación en zonas no deseadas, por ello se deberán establecer las medidas necesarias para la retención de sólidos, previas a la evacuación de las aguas de escorrentía superficial, así como otras posibles medidas para reducir al mínimo el riesgo de contaminación de las </w:t>
      </w:r>
      <w:r w:rsidRPr="001F1B81">
        <w:rPr>
          <w:rFonts w:ascii="HP Simplified" w:hAnsi="HP Simplified" w:cstheme="minorHAnsi"/>
          <w:b/>
          <w:i/>
          <w:sz w:val="24"/>
          <w:szCs w:val="24"/>
        </w:rPr>
        <w:t>aguas superficiales</w:t>
      </w:r>
      <w:r w:rsidRPr="001F1B81">
        <w:rPr>
          <w:rFonts w:ascii="HP Simplified" w:hAnsi="HP Simplified" w:cstheme="minorHAnsi"/>
          <w:i/>
          <w:sz w:val="24"/>
          <w:szCs w:val="24"/>
        </w:rPr>
        <w:t>.</w:t>
      </w:r>
      <w:r w:rsidRPr="001F1B81">
        <w:rPr>
          <w:rFonts w:ascii="HP Simplified" w:hAnsi="HP Simplified" w:cstheme="minorHAnsi"/>
          <w:i/>
          <w:color w:val="000000"/>
          <w:sz w:val="24"/>
          <w:szCs w:val="24"/>
        </w:rPr>
        <w:t xml:space="preserve">(…)El </w:t>
      </w:r>
      <w:r w:rsidRPr="001F1B81">
        <w:rPr>
          <w:rFonts w:ascii="HP Simplified" w:hAnsi="HP Simplified" w:cstheme="minorHAnsi"/>
          <w:b/>
          <w:i/>
          <w:color w:val="000000"/>
          <w:sz w:val="24"/>
          <w:szCs w:val="24"/>
        </w:rPr>
        <w:t>abastecimiento de agua</w:t>
      </w:r>
      <w:r w:rsidRPr="001F1B81">
        <w:rPr>
          <w:rFonts w:ascii="HP Simplified" w:hAnsi="HP Simplified" w:cstheme="minorHAnsi"/>
          <w:i/>
          <w:color w:val="000000"/>
          <w:sz w:val="24"/>
          <w:szCs w:val="24"/>
        </w:rPr>
        <w:t xml:space="preserve"> para las instalaciones sanitarias se realizará mediante </w:t>
      </w:r>
      <w:r w:rsidRPr="001F1B81">
        <w:rPr>
          <w:rFonts w:ascii="HP Simplified" w:hAnsi="HP Simplified" w:cstheme="minorHAnsi"/>
          <w:b/>
          <w:i/>
          <w:color w:val="000000"/>
          <w:sz w:val="24"/>
          <w:szCs w:val="24"/>
        </w:rPr>
        <w:t>depósito</w:t>
      </w:r>
      <w:r w:rsidRPr="001F1B81">
        <w:rPr>
          <w:rFonts w:ascii="HP Simplified" w:hAnsi="HP Simplified" w:cstheme="minorHAnsi"/>
          <w:i/>
          <w:color w:val="000000"/>
          <w:sz w:val="24"/>
          <w:szCs w:val="24"/>
        </w:rPr>
        <w:t>, para evitar la captación en pozo, de modo que se elimine cualquier impacto sobre la presión extractiva en las masas de agua subterránea o alteraciones en su régimen hidrogeológico. En el caso de que finalmente fuera necesaria la captación de aguas superficiales o subterráneas o se produjera vertido sobre algún elemento del Dominio Público Hidráulico, previamente se deberá disponer de la correspondiente autorización de vertido del organismo de cuenca, según lo establecido en el reglamento de Dominio Público Hidráulico.”</w:t>
      </w:r>
    </w:p>
    <w:p w14:paraId="567330CE" w14:textId="48E5970A" w:rsidR="003042C8" w:rsidRPr="001B22AD" w:rsidRDefault="003042C8" w:rsidP="001B22AD">
      <w:pPr>
        <w:spacing w:before="120" w:after="120" w:line="240" w:lineRule="auto"/>
        <w:ind w:firstLine="360"/>
        <w:jc w:val="both"/>
        <w:rPr>
          <w:rFonts w:ascii="HP Simplified" w:eastAsia="Times New Roman" w:hAnsi="HP Simplified" w:cstheme="minorHAnsi"/>
          <w:color w:val="000000" w:themeColor="text1"/>
          <w:sz w:val="24"/>
          <w:szCs w:val="24"/>
          <w:lang w:eastAsia="es-ES"/>
        </w:rPr>
      </w:pPr>
      <w:r w:rsidRPr="001F1B81">
        <w:rPr>
          <w:rFonts w:ascii="HP Simplified" w:eastAsia="Times New Roman" w:hAnsi="HP Simplified" w:cstheme="minorHAnsi"/>
          <w:color w:val="000000" w:themeColor="text1"/>
          <w:sz w:val="24"/>
          <w:szCs w:val="24"/>
          <w:lang w:eastAsia="es-ES"/>
        </w:rPr>
        <w:t xml:space="preserve">La realización de este proyecto afectará claramente a la cabecera de los ríos, a masas subterráneas y a numerosos arroyos. Así mismo y debido al volumen de </w:t>
      </w:r>
      <w:r w:rsidRPr="001F1B81">
        <w:rPr>
          <w:rFonts w:ascii="HP Simplified" w:eastAsia="Times New Roman" w:hAnsi="HP Simplified" w:cstheme="minorHAnsi"/>
          <w:color w:val="000000" w:themeColor="text1"/>
          <w:sz w:val="24"/>
          <w:szCs w:val="24"/>
          <w:lang w:eastAsia="es-ES"/>
        </w:rPr>
        <w:lastRenderedPageBreak/>
        <w:t>infraestructuras que soportaría dicho territorio, también se verían afectadas las numerosas fuentes y manantiales que hay en los pueblos de la zona.</w:t>
      </w:r>
    </w:p>
    <w:p w14:paraId="1C244034" w14:textId="77777777" w:rsidR="003042C8" w:rsidRPr="001F1B81" w:rsidRDefault="003042C8" w:rsidP="003042C8">
      <w:pPr>
        <w:spacing w:before="120" w:after="120" w:line="240" w:lineRule="auto"/>
        <w:jc w:val="both"/>
        <w:rPr>
          <w:rFonts w:ascii="HP Simplified" w:eastAsia="Times New Roman" w:hAnsi="HP Simplified" w:cstheme="minorHAnsi"/>
          <w:b/>
          <w:color w:val="000000" w:themeColor="text1"/>
          <w:sz w:val="24"/>
          <w:szCs w:val="24"/>
          <w:lang w:eastAsia="es-ES"/>
        </w:rPr>
      </w:pPr>
      <w:r w:rsidRPr="001F1B81">
        <w:rPr>
          <w:rFonts w:ascii="HP Simplified" w:eastAsia="Times New Roman" w:hAnsi="HP Simplified" w:cstheme="minorHAnsi"/>
          <w:b/>
          <w:color w:val="000000" w:themeColor="text1"/>
          <w:sz w:val="24"/>
          <w:szCs w:val="24"/>
          <w:lang w:eastAsia="es-ES"/>
        </w:rPr>
        <w:t>Noveno.–</w:t>
      </w:r>
      <w:r w:rsidRPr="001F1B81">
        <w:rPr>
          <w:rFonts w:ascii="HP Simplified" w:eastAsia="Times New Roman" w:hAnsi="HP Simplified" w:cstheme="minorHAnsi"/>
          <w:color w:val="000000" w:themeColor="text1"/>
          <w:sz w:val="24"/>
          <w:szCs w:val="24"/>
          <w:lang w:eastAsia="es-ES"/>
        </w:rPr>
        <w:t xml:space="preserve">La resolución impugnada en este recurso infringe el ordenamiento jurídico relativo a la protección de la </w:t>
      </w:r>
      <w:r w:rsidRPr="001F1B81">
        <w:rPr>
          <w:rFonts w:ascii="HP Simplified" w:eastAsia="Times New Roman" w:hAnsi="HP Simplified" w:cstheme="minorHAnsi"/>
          <w:b/>
          <w:color w:val="000000" w:themeColor="text1"/>
          <w:sz w:val="24"/>
          <w:szCs w:val="24"/>
          <w:lang w:eastAsia="es-ES"/>
        </w:rPr>
        <w:t>BIODIVERSIDAD.</w:t>
      </w:r>
    </w:p>
    <w:p w14:paraId="35BFDDEA" w14:textId="77777777" w:rsidR="003042C8" w:rsidRPr="001F1B81" w:rsidRDefault="003042C8" w:rsidP="003042C8">
      <w:pPr>
        <w:autoSpaceDE w:val="0"/>
        <w:autoSpaceDN w:val="0"/>
        <w:adjustRightInd w:val="0"/>
        <w:spacing w:before="120" w:after="120" w:line="240" w:lineRule="auto"/>
        <w:ind w:firstLine="708"/>
        <w:jc w:val="both"/>
        <w:rPr>
          <w:rFonts w:ascii="HP Simplified" w:hAnsi="HP Simplified" w:cstheme="minorHAnsi"/>
          <w:sz w:val="24"/>
          <w:szCs w:val="24"/>
        </w:rPr>
      </w:pPr>
      <w:r w:rsidRPr="001F1B81">
        <w:rPr>
          <w:rFonts w:ascii="HP Simplified" w:hAnsi="HP Simplified" w:cstheme="minorHAnsi"/>
          <w:sz w:val="24"/>
          <w:szCs w:val="24"/>
        </w:rPr>
        <w:t>La propia Declaración de Impacto Ambiental reconoce  que “</w:t>
      </w:r>
      <w:r w:rsidRPr="001F1B81">
        <w:rPr>
          <w:rFonts w:ascii="HP Simplified" w:hAnsi="HP Simplified" w:cstheme="minorHAnsi"/>
          <w:i/>
          <w:sz w:val="24"/>
          <w:szCs w:val="24"/>
        </w:rPr>
        <w:t xml:space="preserve">De igual manera, se ha comprobado que en el ámbito del proyecto o en su entorno inmediato existe la presencia de hábitats de interés comunitario (4030 Brezales secos europeos, 4090 Brezales oromediterráneos endémicos con aliaga, 8130 Desprendimientos mediterráneos occidentales y termófilos, 8230 Roquedos silíceos con vegetación pionera del Sedo-Scleranthion o del Sedo albi-Veronicion dillenii) y 9230 Robledales galaico-portugueses con Quercus robur y Quercus pyrenaica), al igual que la presencia de especies incluidas en el Catálogo de Flora Protegida de Castilla y León, catalogadas como «De atención preferente» (Callitriche palustis y Senecio doria subsp. legionensis), además de diversas especies de fauna protegida, destacando entre ellas, por su interés o grado de amenaza, el milano real (Milvus milvus), el buitre leonado (Gyps fulvus), el buitre negro (Aegypius monachus), el águila culebrera (Circaetus gallicus), el águila calzada (Hieraaetus pennatus), el milano negro (Milvus migrans), el abejero europeo (Pernis apivorus) o el azor (Accipiter gentilis), y también especies de quirópteros como el murciélago montañero (Hypsugo savii), la barbastela (Barbastella barbastellus), el nóctulo pequeño (Nyctalus leisleri), el nóctulo mediano/grande (Nyctalus noctula/lasiopterus) o el murciélago hortelano (Eptesicus serotinus).” </w:t>
      </w:r>
      <w:r w:rsidRPr="001F1B81">
        <w:rPr>
          <w:rFonts w:ascii="HP Simplified" w:hAnsi="HP Simplified" w:cstheme="minorHAnsi"/>
          <w:sz w:val="24"/>
          <w:szCs w:val="24"/>
        </w:rPr>
        <w:t xml:space="preserve">Sin embargo, </w:t>
      </w:r>
      <w:r w:rsidRPr="001F1B81">
        <w:rPr>
          <w:rFonts w:ascii="HP Simplified" w:hAnsi="HP Simplified" w:cstheme="minorHAnsi"/>
          <w:i/>
          <w:sz w:val="24"/>
          <w:szCs w:val="24"/>
        </w:rPr>
        <w:t xml:space="preserve">“a este respecto se estima que las actuaciones previstas no supondrán afecciones significativas a dichos hábitats y especies de fauna, ni afecciones directas para las especies de flora catalogada, siempre y cuando se cumplan las medidas preventivas y correctoras recogidas en el estudio de impacto ambiental, así como las señaladas en el informe, y que están igualmente incluidas en las medidas de la presente declaración de impacto ambiental. En las inmediaciones del proyecto se tienen citas de desmán ibérico (galemys pyrenaicus).” </w:t>
      </w:r>
      <w:r w:rsidRPr="001F1B81">
        <w:rPr>
          <w:rFonts w:ascii="HP Simplified" w:hAnsi="HP Simplified" w:cstheme="minorHAnsi"/>
          <w:sz w:val="24"/>
          <w:szCs w:val="24"/>
        </w:rPr>
        <w:t xml:space="preserve">Pero esta </w:t>
      </w:r>
      <w:r w:rsidRPr="001F1B81">
        <w:rPr>
          <w:rFonts w:ascii="HP Simplified" w:hAnsi="HP Simplified" w:cstheme="minorHAnsi"/>
          <w:i/>
          <w:sz w:val="24"/>
          <w:szCs w:val="24"/>
        </w:rPr>
        <w:t>estimación</w:t>
      </w:r>
      <w:r w:rsidRPr="001F1B81">
        <w:rPr>
          <w:rFonts w:ascii="HP Simplified" w:hAnsi="HP Simplified" w:cstheme="minorHAnsi"/>
          <w:sz w:val="24"/>
          <w:szCs w:val="24"/>
        </w:rPr>
        <w:t xml:space="preserve"> infundada de que no supondrá afecciones significativas no se encuentra debidamente respaldada por datos en lo que la Ley de Evaluación Ambiental dispone que ha de conllevar un estudio científico de los impactos.</w:t>
      </w:r>
    </w:p>
    <w:p w14:paraId="1CB11760" w14:textId="77777777" w:rsidR="003042C8" w:rsidRPr="001F1B81" w:rsidRDefault="003042C8" w:rsidP="003042C8">
      <w:pPr>
        <w:autoSpaceDE w:val="0"/>
        <w:autoSpaceDN w:val="0"/>
        <w:adjustRightInd w:val="0"/>
        <w:spacing w:before="120" w:after="120" w:line="240" w:lineRule="auto"/>
        <w:ind w:firstLine="708"/>
        <w:jc w:val="both"/>
        <w:rPr>
          <w:rFonts w:ascii="HP Simplified" w:hAnsi="HP Simplified" w:cstheme="minorHAnsi"/>
          <w:sz w:val="24"/>
          <w:szCs w:val="24"/>
        </w:rPr>
      </w:pPr>
      <w:r w:rsidRPr="001F1B81">
        <w:rPr>
          <w:rFonts w:ascii="HP Simplified" w:hAnsi="HP Simplified" w:cstheme="minorHAnsi"/>
          <w:sz w:val="24"/>
          <w:szCs w:val="24"/>
        </w:rPr>
        <w:t xml:space="preserve">No obstante, hay que tener en cuenta, el amplio abanico de especies de mamíferos que se verán afectadas por las nuevas obras e infraestructuras instaladas, entre ellas, el lobo ibérico (canis lupus), con pruebas de eficacia probatoria de la existencia de, al menos, una manada; el oso pardo (ursus arctos), que está demostrado que el área del proyecto es zona de campeo y tránsito; y el desmán ibérico (galemys pyrenaicus), incluidos en el Catálogo Español de Especies Amenazadas en la categoría “vulnerable”.  </w:t>
      </w:r>
    </w:p>
    <w:p w14:paraId="50DA8EA6"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Se conculca, como ya se ha comentado, el artículo 21.2 de La Ley 7/2021, de 20 de mayo, de Cambio Climático y Transición Energética, en lo referente a la conservación de la biodiversidad, provisión de los ecosistemas y conectividad. Para asegurar la conectividad se deben reglamentar criterios y medidas que garanticen la necesaria articulación de esa red de espacios protegidos, reservorios de biodiversidad, que encontramos especialmente en nuestra provincia de León, con más motivo por contar con muchos corredores entre el amplio número de espacios con alguna figura de protección y por el elevado porcentaje de suelo forestal en la provincia. La Ley 42/2007, de 13 de diciembre, del Patrimonio Natural y de la Biodiversidad, define corredor ecológico, y en su artículo 47 sobre la coherencia y conectividad, establece que las CCAA </w:t>
      </w:r>
      <w:r w:rsidRPr="001F1B81">
        <w:rPr>
          <w:rFonts w:ascii="HP Simplified" w:hAnsi="HP Simplified" w:cstheme="minorHAnsi"/>
          <w:sz w:val="24"/>
          <w:szCs w:val="24"/>
        </w:rPr>
        <w:lastRenderedPageBreak/>
        <w:t>fomentarán la conservación de corredores ecológicos. Así mismo, en su artículo 21, insta a las Administraciones Públicas a establecer o reestablecer corredores ecológicos, en particular entre los espacios protegidos Red Natura 2000 y entre aquellos espacios naturales de singular relevancia para la biodiversidad, otorgando un papel prioritario a los cursos fluviales, las vías pecuaria, las área de montaña y otros elementos del territorio, lineales y continuos, o que actúan como puntos de enlace, con independencia de que tengan la condición de espacios naturales protegidos.</w:t>
      </w:r>
    </w:p>
    <w:p w14:paraId="6B9F48CC" w14:textId="77777777" w:rsidR="003042C8" w:rsidRPr="001F1B81" w:rsidRDefault="003042C8" w:rsidP="003042C8">
      <w:pP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Además, los objetivos, metas y líneas de actuación establecidas a este respecto en la Orden PCM/735/2021, de 9 de julio, por la que se aprueba la Estrategia Nacional de Infraestructura Verde y de la Conectividad y Restauración Ecológicas, así como los objetivos y medidas establecidas en el Real Decreto 1057/2022, de 27 de diciembre, por el que se aprueba el Plan estratégico estatal del patrimonio natural y de la biodiversidad a 2030, en aplicación de la Ley 42/2007, de 13 de diciembre, del Patrimonio Natural y de la Biodiversidad, entrarían en conflicto con la ejecución del presente proyecto.</w:t>
      </w:r>
    </w:p>
    <w:p w14:paraId="58B8B9C9" w14:textId="77777777" w:rsidR="003042C8" w:rsidRPr="001F1B81" w:rsidRDefault="003042C8" w:rsidP="003042C8">
      <w:pPr>
        <w:autoSpaceDE w:val="0"/>
        <w:autoSpaceDN w:val="0"/>
        <w:adjustRightInd w:val="0"/>
        <w:spacing w:before="120" w:after="120" w:line="240" w:lineRule="auto"/>
        <w:ind w:firstLine="708"/>
        <w:jc w:val="both"/>
        <w:rPr>
          <w:rFonts w:ascii="HP Simplified" w:hAnsi="HP Simplified" w:cstheme="minorHAnsi"/>
          <w:color w:val="000000" w:themeColor="text1"/>
          <w:sz w:val="24"/>
          <w:szCs w:val="24"/>
        </w:rPr>
      </w:pPr>
      <w:r w:rsidRPr="001F1B81">
        <w:rPr>
          <w:rFonts w:ascii="HP Simplified" w:hAnsi="HP Simplified" w:cstheme="minorHAnsi"/>
          <w:color w:val="000000" w:themeColor="text1"/>
          <w:sz w:val="24"/>
          <w:szCs w:val="24"/>
        </w:rPr>
        <w:t>A este respecto, resulta muy elocuente todo lo establecido en las secciones 1ª y 2ª del Capítulo 3 de la Ley 3/2008, de 17 de junio, de aprobación de las directrices esenciales de ordenación del territorio de Castilla y León, que ha de ser el documento que rija el desarrollo de esos planes.</w:t>
      </w:r>
    </w:p>
    <w:p w14:paraId="41BC41A4" w14:textId="77777777" w:rsidR="003042C8" w:rsidRPr="001F1B81" w:rsidRDefault="003042C8" w:rsidP="003042C8">
      <w:pPr>
        <w:autoSpaceDE w:val="0"/>
        <w:autoSpaceDN w:val="0"/>
        <w:adjustRightInd w:val="0"/>
        <w:spacing w:before="120" w:after="120" w:line="240" w:lineRule="auto"/>
        <w:ind w:firstLine="708"/>
        <w:jc w:val="both"/>
        <w:rPr>
          <w:rFonts w:ascii="HP Simplified" w:hAnsi="HP Simplified" w:cstheme="minorHAnsi"/>
          <w:color w:val="000000" w:themeColor="text1"/>
          <w:sz w:val="24"/>
          <w:szCs w:val="24"/>
        </w:rPr>
      </w:pPr>
      <w:r w:rsidRPr="001F1B81">
        <w:rPr>
          <w:rFonts w:ascii="HP Simplified" w:hAnsi="HP Simplified" w:cstheme="minorHAnsi"/>
          <w:color w:val="000000" w:themeColor="text1"/>
          <w:sz w:val="24"/>
          <w:szCs w:val="24"/>
        </w:rPr>
        <w:t>Por si acaso no se dispusiera de esta información, nos permitimos reproducirla a continuación:</w:t>
      </w:r>
    </w:p>
    <w:p w14:paraId="6E2F0073"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b/>
          <w:i/>
          <w:color w:val="000000" w:themeColor="text1"/>
          <w:sz w:val="24"/>
          <w:szCs w:val="24"/>
        </w:rPr>
      </w:pPr>
      <w:r w:rsidRPr="001F1B81">
        <w:rPr>
          <w:rFonts w:ascii="HP Simplified" w:hAnsi="HP Simplified" w:cstheme="minorHAnsi"/>
          <w:b/>
          <w:i/>
          <w:color w:val="000000" w:themeColor="text1"/>
          <w:sz w:val="24"/>
          <w:szCs w:val="24"/>
        </w:rPr>
        <w:t>Sección 1.ª Protección de la riqueza natural y del medio ambiente</w:t>
      </w:r>
    </w:p>
    <w:p w14:paraId="1C312DBF"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3.1. Coherencia, diversidad y riqueza del territorio de Castilla y León.- La coherencia geográfica del territorio de Castilla y León, así como la diversidad y riqueza de sus espacios naturales, son un recurso básico de la Comunidad, que debe ser valorado mediante políticas que promuevan un uso sostenible e inteligente de los recursos naturales. A tal efecto:</w:t>
      </w:r>
    </w:p>
    <w:p w14:paraId="25B4B681"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a) Se fomentará una perspectiva integral de la riqueza natural de Castilla y León, fortalecedora de la identidad regional, y se dará prioridad a las acciones de ámbito supralocal que generen sinergias territoriales.</w:t>
      </w:r>
    </w:p>
    <w:p w14:paraId="20CA3C98"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b) Será objetivo estratégico para la acción pública, fomentar la excelencia ambiental, para contribuir a un modelo de desarrollo sostenible y de lucha contra el cambio climático, así como para fortalecer la capacidad de la Comunidad de atraer nueva población y actividades, y para desarrollar un sistema diferencial de recursos turísticos.</w:t>
      </w:r>
    </w:p>
    <w:p w14:paraId="098362DF"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3.2. Red de espacios naturales. - La Red de Espacios Naturales de Castilla y León y la Red Natura 2000 configuran el sistema de zonas más relevantes del patrimonio natural de la región, albergando los ecosistemas y paisajes mejor conservados. Los criterios de actuación en dichos espacios serán los siguientes:</w:t>
      </w:r>
    </w:p>
    <w:p w14:paraId="1074BBB6"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a) Proteger, conservar y recuperar los lugares de singular valor, en particular mediante la elaboración de los correspondientes instrumentos de ordenación territorial y gestión.</w:t>
      </w:r>
    </w:p>
    <w:p w14:paraId="6951FF85"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b) Promover acciones de desarrollo socioeconómico para los habitantes de los espacios naturales y de sus zonas de influencia socioeconómica, fomentando un uso sostenible e inteligente de los recursos, así como el mantenimiento de las prácticas tradicionales de gestión sostenible del territorio.</w:t>
      </w:r>
    </w:p>
    <w:p w14:paraId="09C47952"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lastRenderedPageBreak/>
        <w:t>c) Promover la calidad de las obras públicas y de la arquitectura contemporánea, asociada a la imagen de calidad de dichos ámbitos.</w:t>
      </w:r>
    </w:p>
    <w:p w14:paraId="516EF6C2"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3.3. Puesta en valor de los montes y bosques. - Los montes y los bosques tienen una función esencial en la ordenación y vertebración del territorio, y, en particular, del mundo rural. Por tanto, la acción pública debe dirigirse a la conservación de estos espacios mediante una gestión planificada, con instrumentos que integren la política forestal con las demás políticas sectoriales, y a nivel de detalle con instrumentos de ordenación de cada monte. Asimismo, debe mantenerse un equilibrio armónico entre las distintas funciones de los montes, tanto económicas como ambientales y sociales. La puesta en valor de estos espacios, así como de los recursos forestales, es estratégica tanto para la calidad del territorio como para la vertebración socioeconómica de muchas áreas rurales y, en especial, de las más desfavorecidas y periféricas. La ordenación y promoción del uso de los productos de los montes, así como su transformación, son necesarias para el desarrollo futuro de dichas áreas; en tal sentido, la certificación de la gestión forestal sostenible es una herramienta adecuada para conseguir estos objetivos.</w:t>
      </w:r>
    </w:p>
    <w:p w14:paraId="28FD649E"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3.4. Red de corredores ecológicos. - Para fomentar la interrelación y el intercambio ecológico en los espacios naturales debe mantenerse el buen estado ecológico de los territorios existentes entre los mismos, en particular, apoyando las prácticas agrícolas y ganaderas sostenibles y asegurando la permeabilidad de las infraestructuras y de las barreras naturales, en especial de las riberas de los ríos. Al mismo tiempo, es necesario defender el mantenimiento de la calidad del paisaje, aun cuando los paisajes humanos están sometidos a una constante transformación.</w:t>
      </w:r>
    </w:p>
    <w:p w14:paraId="1C09C9B5"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 xml:space="preserve">3.5. Protección ambiental. - La protección ambiental debe ser una directriz esencial para la acción pública. A tal efecto: </w:t>
      </w:r>
    </w:p>
    <w:p w14:paraId="3E8BE318"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a) Se dará prioridad a la conservación de los factores abióticos y bióticos que garantizan la calidad del medio ambiente, procurando:</w:t>
      </w:r>
    </w:p>
    <w:p w14:paraId="1793EE5B"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1. º Defender la calidad del aire, mejorando las herramientas de análisis y control, y aplicando planes de actuación allí donde se detecten situaciones de contaminación atmosférica.</w:t>
      </w:r>
    </w:p>
    <w:p w14:paraId="212BDC59"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2.º Elaborar planes de movilidad en los centros urbanos de referencia, que contribuyan a reducir las emisiones de gases de efecto invernadero y a mejorar la calidad del aire.</w:t>
      </w:r>
    </w:p>
    <w:p w14:paraId="2AB0FA28"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3.º Fomentar estrategias locales contra la contaminación acústica y lumínica, elaborando herramientas específicas, tales como mapas de ruido y guías de diseño urbano.</w:t>
      </w:r>
    </w:p>
    <w:p w14:paraId="6279905E"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4.º Garantizar la calidad de las aguas velando por el buen estado de las aguas superficiales y de los acuíferos, la protección de los humedales y el mantenimiento del caudal ecológico de los ríos.</w:t>
      </w:r>
    </w:p>
    <w:p w14:paraId="6CA45D0F"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5.º Mantener la calidad de los suelos, con acciones de prevención de la erosión y la contaminación, diagnóstico de áreas vulnerables y elaboración de programas de recuperación de suelos degradados.</w:t>
      </w:r>
    </w:p>
    <w:p w14:paraId="7892EC67"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6.º Proteger y conservar los espacios arbolados continuando las acciones de reforestación, así como las relativas a la prevención y extinción de incendios.</w:t>
      </w:r>
    </w:p>
    <w:p w14:paraId="3784113F"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lastRenderedPageBreak/>
        <w:t>7.º Garantizar la conservación de la fauna y flora silvestre, en especial la más amenazada, elaborando planes para su recuperación y para la gestión de los hábitats prioritarios.</w:t>
      </w:r>
    </w:p>
    <w:p w14:paraId="60967208"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b) La acción pública dará prioridad a la mejora y mantenimiento de las infraestructuras y sistemas de servicios básicos ligados al ciclo del agua, así como a la gestión sostenible y segura de los residuos.</w:t>
      </w:r>
    </w:p>
    <w:p w14:paraId="06A17613"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c) Se fomentarán prácticas más sostenibles en todos los procesos de transformación del territorio, así como programas que incentiven el uso de energías renovables, el ahorro y la eficiencia energética.</w:t>
      </w:r>
    </w:p>
    <w:p w14:paraId="7B3B7038"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d) Los centros urbanos de referencia generalizarán el uso de herramientas de gestión ambiental, como las estrategias locales de desarrollo sostenible.</w:t>
      </w:r>
    </w:p>
    <w:p w14:paraId="324D12D3"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e) Las Administraciones públicas buscarán fórmulas innovadoras de financiación de las inversiones en el patrimonio natural y del medio ambiente, en colaboración con el sector privado.</w:t>
      </w:r>
    </w:p>
    <w:p w14:paraId="51D7F381"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3.6. Infraestructuras del ciclo del agua. - La acción pública en materia hidráulica debe apoyarse en la colaboración entre la Junta de Castilla y León y los Organismos de Cuenca, a fin de mejorar sistemáticamente la eficiencia en la gestión del agua, la garantía de suministro a la población y la preservación de la calidad de las aguas. A tal efecto:</w:t>
      </w:r>
    </w:p>
    <w:p w14:paraId="64A5874F"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a) Se impulsará la recuperación de humedales y acuíferos sobreexplotados, el control de calidad de las aguas, la depuración de vertidos, el mantenimiento de caudales ecológicos, así como la recuperación de riberas, en especial en tramos urbanos.</w:t>
      </w:r>
    </w:p>
    <w:p w14:paraId="3D44CDAC"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b) Se fomentará el ahorro en el consumo mediante el adecuado mantenimiento de las infraestructuras de abastecimiento y la reutilización de aguas residuales, sin perjuicio de prever un incremento razonable de los recursos hídricos necesarios para garantizar el desarrollo equilibrado y sostenible de la Comunidad.</w:t>
      </w:r>
    </w:p>
    <w:p w14:paraId="13930F83"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c) Con las salvaguardas ambientales necesarias, se impulsarán las obras hidráulicas de regulación y transporte que permitan atender las demandas actuales y futuras conforme a lo dispuesto en la letra anterior, así como el aprovechamiento energético de ríos y canales.</w:t>
      </w:r>
    </w:p>
    <w:p w14:paraId="0BC6C7C5"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d) La infraestructura hidráulica urbana deberá satisfacer las demandas actuales y futuras de la población mediante acciones de mejora programadas, promoviendo estrategias de colaboración con los entes locales dirigidas a modernizar y mejorar las infraestructuras existentes con el fin de:</w:t>
      </w:r>
    </w:p>
    <w:p w14:paraId="63EA865D"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1.º Asegurar la dotación y la calidad del agua para consumo humano, mejorando los servicios al usuario y aumentando la eficiencia en la gestión, con criterios de ahorro y equilibrio de costes.</w:t>
      </w:r>
    </w:p>
    <w:p w14:paraId="373187A9"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2.º Preservar la calidad de las aguas, manteniendo la biodiversidad fluvial y lagunar, y a la vez proteger los acuíferos subterráneos.</w:t>
      </w:r>
    </w:p>
    <w:p w14:paraId="022E2B20"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3.º Fomentar las soluciones mancomunadas o mediante consorcios, capaces de abordar con mayor eficiencia tanto las carencias en abastecimiento y depuración como la previsión.</w:t>
      </w:r>
    </w:p>
    <w:p w14:paraId="40391E1A"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 xml:space="preserve">e) Asumiendo que los regadíos cumplen un papel imprescindible para garantizar la actividad en el medio rural, es necesario continuar su implantación y consolidar los </w:t>
      </w:r>
      <w:r w:rsidRPr="001F1B81">
        <w:rPr>
          <w:rFonts w:ascii="HP Simplified" w:hAnsi="HP Simplified" w:cstheme="minorHAnsi"/>
          <w:i/>
          <w:color w:val="000000" w:themeColor="text1"/>
          <w:sz w:val="24"/>
          <w:szCs w:val="24"/>
        </w:rPr>
        <w:lastRenderedPageBreak/>
        <w:t>existentes, mejorando las infraestructuras y modernizando los sistemas de riego para lograr el máximo ahorro de agua.</w:t>
      </w:r>
    </w:p>
    <w:p w14:paraId="6A449D1E"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i/>
          <w:color w:val="000000" w:themeColor="text1"/>
          <w:sz w:val="24"/>
          <w:szCs w:val="24"/>
        </w:rPr>
      </w:pPr>
      <w:r w:rsidRPr="001F1B81">
        <w:rPr>
          <w:rFonts w:ascii="HP Simplified" w:hAnsi="HP Simplified" w:cstheme="minorHAnsi"/>
          <w:i/>
          <w:color w:val="000000" w:themeColor="text1"/>
          <w:sz w:val="24"/>
          <w:szCs w:val="24"/>
        </w:rPr>
        <w:t>f) Fomentar la recuperación de infraestructuras hidráulicas históricas que hayan perdido su función inicial, para cumplir usos alternativos.</w:t>
      </w:r>
    </w:p>
    <w:p w14:paraId="654C784A" w14:textId="77777777" w:rsidR="003042C8" w:rsidRPr="001F1B81" w:rsidRDefault="003042C8" w:rsidP="003042C8">
      <w:pPr>
        <w:autoSpaceDE w:val="0"/>
        <w:autoSpaceDN w:val="0"/>
        <w:adjustRightInd w:val="0"/>
        <w:spacing w:before="120" w:after="120" w:line="240" w:lineRule="auto"/>
        <w:jc w:val="both"/>
        <w:rPr>
          <w:rFonts w:ascii="HP Simplified" w:hAnsi="HP Simplified" w:cstheme="minorHAnsi"/>
          <w:sz w:val="24"/>
          <w:szCs w:val="24"/>
        </w:rPr>
      </w:pPr>
      <w:r w:rsidRPr="001F1B81">
        <w:rPr>
          <w:rFonts w:ascii="HP Simplified" w:hAnsi="HP Simplified" w:cstheme="minorHAnsi"/>
          <w:i/>
          <w:color w:val="000000" w:themeColor="text1"/>
          <w:sz w:val="24"/>
          <w:szCs w:val="24"/>
        </w:rPr>
        <w:t>3.7. Infraestructuras de residuos. - La acción pública en materia de residuos debe abordarse como política integral, minimizando los riesgos para el medio ambiente y la salud humana, reduciendo la generación de residuos y fomentando su reutilización, reciclado y valorización, así como consolidando la red regional de infraestructuras de gestión. A tal efecto se desarrollarán planes y políticas específicas para los residuos urbanos, industriales peligrosos y no peligrosos, sanitarios, de la construcción, ganaderos, agrícolas y forestales, sin perjuicio de establecer actuaciones comunes que procuren sinergias beneficiosas.</w:t>
      </w:r>
    </w:p>
    <w:p w14:paraId="41AF9A68" w14:textId="77777777" w:rsidR="003042C8" w:rsidRPr="001F1B81" w:rsidRDefault="003042C8" w:rsidP="003042C8">
      <w:pPr>
        <w:pBdr>
          <w:top w:val="nil"/>
          <w:left w:val="nil"/>
          <w:bottom w:val="nil"/>
          <w:right w:val="nil"/>
          <w:between w:val="nil"/>
        </w:pBd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El Estudio de Impacto Ambiental incumple las garantías de la Ley 21/2013 de Evaluación de Impacto Ambiental, que establece la obligación de que los Estudios de Impacto Ambiental han de contener una </w:t>
      </w:r>
      <w:r w:rsidRPr="001F1B81">
        <w:rPr>
          <w:rFonts w:ascii="HP Simplified" w:hAnsi="HP Simplified" w:cstheme="minorHAnsi"/>
          <w:i/>
          <w:sz w:val="24"/>
          <w:szCs w:val="24"/>
        </w:rPr>
        <w:t>“Identificación, descripción, análisis y, si procede, cuantificación de los posibles efectos significativos directos o indirectos, secundarios, acumulativos y sinérgicos del proyecto sobre los siguientes factores: la población, la salud humana, la flora, la fauna, la biodiversidad, la geodiversidad, el suelo, el subsuelo, el aire, el agua, el medio marino, el clima, el cambio climático, el paisaje, los bienes materiales, el patrimonio cultural, y la interacción entre todos los factores mencionados, durante las fases de ejecución, explotación y en su caso durante la demolición o abandono del proyecto</w:t>
      </w:r>
      <w:r w:rsidRPr="001F1B81">
        <w:rPr>
          <w:rFonts w:ascii="HP Simplified" w:hAnsi="HP Simplified" w:cstheme="minorHAnsi"/>
          <w:sz w:val="24"/>
          <w:szCs w:val="24"/>
        </w:rPr>
        <w:t>” (artículo 35, punto c). En definitiva, el EsIA es el elemento clave para que, a lo largo del proceso de Evaluación de Impacto Ambiental, se pueda valorar de forma objetiva y suficiente la compatibilidad de un determinado proyecto.</w:t>
      </w:r>
    </w:p>
    <w:p w14:paraId="08C3545D" w14:textId="77777777" w:rsidR="003042C8" w:rsidRPr="001F1B81" w:rsidRDefault="003042C8" w:rsidP="003042C8">
      <w:pPr>
        <w:pBdr>
          <w:top w:val="nil"/>
          <w:left w:val="nil"/>
          <w:bottom w:val="nil"/>
          <w:right w:val="nil"/>
          <w:between w:val="nil"/>
        </w:pBd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Sin embargo, el EsIA sometido a información pública, presenta una calidad manifiestamente deficiente, por lo que no puede servir como base para la concesión de una Declaración de Impacto Ambiental favorable. La falta de consideración rigurosa y objetiva de los impactos sinérgicos y acumulativos; la omisión de la verdadera</w:t>
      </w:r>
      <w:r>
        <w:rPr>
          <w:rFonts w:ascii="HP Simplified" w:hAnsi="HP Simplified" w:cstheme="minorHAnsi"/>
          <w:sz w:val="24"/>
          <w:szCs w:val="24"/>
        </w:rPr>
        <w:t xml:space="preserve"> </w:t>
      </w:r>
      <w:r w:rsidRPr="001F1B81">
        <w:rPr>
          <w:rFonts w:ascii="HP Simplified" w:hAnsi="HP Simplified" w:cstheme="minorHAnsi"/>
          <w:sz w:val="24"/>
          <w:szCs w:val="24"/>
        </w:rPr>
        <w:t>afección sobre espacios protegidos; la insuficiente valoración de los impactos sobre hábitats prioritarios; y la parcialidad completa y flagrante respecto a la afección sobre especies protegidas, invalida el Estudio de Impacto Ambiental presentado.</w:t>
      </w:r>
    </w:p>
    <w:p w14:paraId="48881953" w14:textId="77777777" w:rsidR="003042C8" w:rsidRPr="001F1B81" w:rsidRDefault="003042C8" w:rsidP="003042C8">
      <w:pPr>
        <w:pBdr>
          <w:top w:val="nil"/>
          <w:left w:val="nil"/>
          <w:bottom w:val="nil"/>
          <w:right w:val="nil"/>
          <w:between w:val="nil"/>
        </w:pBd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 xml:space="preserve">Sirva de ejemplo, que no estudia el impacto sonoro sobre la flora y fauna, y el impacto de los campos electromagnéticos y de las ondas de baja frecuencia, que ocasiona alteraciones en los tejidos vivos. No se recoge en el anexo una caracterización del ruido suficiente al ser indispensable, para valorar las molestias que produce un ruido, su espectro de frecuencias, lo cual es básico en la evaluación ambiental y la protección de la salud. Tampoco se cuantifica ni valora el impacto del ruido sobre el medio natural, flora y fauna. Sin embargo, debería, una vez se han caracterizado las fuentes sonoras, se ha determinado la zona de estudio y se han medido o predicho los niveles de presión sonora para las diferentes frecuencias, preguntarse por la fauna presente en la zona, su distribución espacial y dinámica, y cómo van a responder a los niveles sonoros a los que van a estar expuestos. Además, no se ha tenido en cuenta el efecto sinérgico de los aerogeneradores entre sí, y de los aerogeneradores con el </w:t>
      </w:r>
      <w:r w:rsidRPr="001F1B81">
        <w:rPr>
          <w:rFonts w:ascii="HP Simplified" w:hAnsi="HP Simplified" w:cstheme="minorHAnsi"/>
          <w:sz w:val="24"/>
          <w:szCs w:val="24"/>
        </w:rPr>
        <w:lastRenderedPageBreak/>
        <w:t>transformador y con la línea de evacuación, ni el efecto sinérgico con otros complejos eólicos proyectados en la Zona.</w:t>
      </w:r>
    </w:p>
    <w:p w14:paraId="28405F11" w14:textId="77777777" w:rsidR="003042C8" w:rsidRPr="006B5700" w:rsidRDefault="003042C8" w:rsidP="003042C8">
      <w:pPr>
        <w:pBdr>
          <w:top w:val="nil"/>
          <w:left w:val="nil"/>
          <w:bottom w:val="nil"/>
          <w:right w:val="nil"/>
          <w:between w:val="nil"/>
        </w:pBdr>
        <w:spacing w:before="120" w:after="120"/>
        <w:ind w:firstLine="708"/>
        <w:jc w:val="both"/>
        <w:rPr>
          <w:rFonts w:ascii="HP Simplified" w:hAnsi="HP Simplified" w:cstheme="minorHAnsi"/>
          <w:sz w:val="24"/>
          <w:szCs w:val="24"/>
        </w:rPr>
      </w:pPr>
      <w:r w:rsidRPr="001F1B81">
        <w:rPr>
          <w:rFonts w:ascii="HP Simplified" w:hAnsi="HP Simplified" w:cstheme="minorHAnsi"/>
          <w:sz w:val="24"/>
          <w:szCs w:val="24"/>
        </w:rPr>
        <w:t>Por su parte, la presión vibratoria de baja frecuencia provoca “enfermedad vibroacústica” (DAV), que según Nuno Castelo Branco y Mariana Alves-Pereira en su abstract del estudio “Vibroacoustic Disease” (enfermedad vibroacústica), 2004, publicado en PubMed (https://pubmed.ncbi.nlm.nih.gov/15273020/ ) es una patología sistémica de todo el cuerpo, caracterizada por la proliferación anormal de matrices extracelulares y causada por una exposición excesiva a ruido de baja frecuencia (LFN). En 1992, se comenzaron a estudiar modelos animales expuestos a LFN con el fin de obtener un conocimiento más profundo de cómo los tejidos responden a este estresante acústico. Tanto en modelos humanos como animales, la exposición a LFN provoca un engrosamiento de las estructuras cardiovasculares. De hecho, el engrosamiento pericárdico sin proceso inflamatorio y en ausencia de disfunción diastólica es el sello distintivo de la VAD. Las depresiones, el aumento de la irritabilidad y la agresividad, la tendencia al aislamiento y la disminución de las habilidades cognitivas son parte del cuadro clínico de la VAD. LFN es un agente genotóxico demostrado que induce una mayor frecuencia de intercambios de cromátidas hermanas en modelos humanos y animales. La aparición de neoplasias malignas entre humanos expuestos a LFN, y de apariciones metaplásicas y desplazadas en animales expuestos a LFN, corrobora claramente el resultado mutagénico de la exposición a LFN.</w:t>
      </w:r>
      <w:r>
        <w:rPr>
          <w:rFonts w:ascii="HP Simplified" w:hAnsi="HP Simplified" w:cstheme="minorHAnsi"/>
          <w:sz w:val="24"/>
          <w:szCs w:val="24"/>
        </w:rPr>
        <w:t xml:space="preserve"> </w:t>
      </w:r>
      <w:r w:rsidRPr="001F1B81">
        <w:rPr>
          <w:rFonts w:ascii="HP Simplified" w:hAnsi="HP Simplified" w:cstheme="minorHAnsi"/>
          <w:sz w:val="24"/>
          <w:szCs w:val="24"/>
        </w:rPr>
        <w:t>”</w:t>
      </w:r>
      <w:r w:rsidRPr="001F1B81">
        <w:rPr>
          <w:rFonts w:ascii="HP Simplified" w:hAnsi="HP Simplified" w:cstheme="minorHAnsi"/>
          <w:b/>
          <w:bCs/>
          <w:sz w:val="24"/>
          <w:szCs w:val="24"/>
        </w:rPr>
        <w:t xml:space="preserve">Por todo lo anterior, </w:t>
      </w:r>
    </w:p>
    <w:p w14:paraId="488BE7D1" w14:textId="77777777" w:rsidR="003042C8" w:rsidRPr="001F1B81" w:rsidRDefault="003042C8" w:rsidP="003042C8">
      <w:pPr>
        <w:spacing w:before="120" w:after="120" w:line="240" w:lineRule="auto"/>
        <w:jc w:val="center"/>
        <w:rPr>
          <w:rFonts w:ascii="HP Simplified" w:eastAsia="Times New Roman" w:hAnsi="HP Simplified" w:cstheme="minorHAnsi"/>
          <w:b/>
          <w:sz w:val="24"/>
          <w:szCs w:val="24"/>
          <w:lang w:eastAsia="es-ES"/>
        </w:rPr>
      </w:pPr>
      <w:r w:rsidRPr="001F1B81">
        <w:rPr>
          <w:rFonts w:ascii="HP Simplified" w:eastAsia="Times New Roman" w:hAnsi="HP Simplified" w:cstheme="minorHAnsi"/>
          <w:b/>
          <w:sz w:val="24"/>
          <w:szCs w:val="24"/>
          <w:lang w:eastAsia="es-ES"/>
        </w:rPr>
        <w:t>SOLICITO</w:t>
      </w:r>
    </w:p>
    <w:p w14:paraId="3A491232" w14:textId="77777777" w:rsidR="003042C8" w:rsidRPr="006B5700" w:rsidRDefault="003042C8" w:rsidP="003042C8">
      <w:pPr>
        <w:spacing w:before="120" w:after="120" w:line="240" w:lineRule="auto"/>
        <w:ind w:firstLine="708"/>
        <w:jc w:val="both"/>
        <w:rPr>
          <w:rFonts w:ascii="HP Simplified" w:hAnsi="HP Simplified" w:cstheme="minorHAnsi"/>
          <w:color w:val="404040" w:themeColor="text1" w:themeTint="BF"/>
          <w:sz w:val="24"/>
          <w:szCs w:val="24"/>
        </w:rPr>
      </w:pPr>
      <w:r w:rsidRPr="006B5700">
        <w:rPr>
          <w:rFonts w:ascii="HP Simplified" w:eastAsia="Times New Roman" w:hAnsi="HP Simplified" w:cstheme="minorHAnsi"/>
          <w:color w:val="404040" w:themeColor="text1" w:themeTint="BF"/>
          <w:sz w:val="24"/>
          <w:szCs w:val="24"/>
          <w:lang w:eastAsia="es-ES"/>
        </w:rPr>
        <w:t xml:space="preserve">Que teniendo por presentado este escrito se sirva admitirlo, tenga por interpuesto </w:t>
      </w:r>
      <w:r w:rsidRPr="006B5700">
        <w:rPr>
          <w:rFonts w:ascii="HP Simplified" w:eastAsia="Times New Roman" w:hAnsi="HP Simplified" w:cstheme="minorHAnsi"/>
          <w:b/>
          <w:color w:val="404040" w:themeColor="text1" w:themeTint="BF"/>
          <w:sz w:val="24"/>
          <w:szCs w:val="24"/>
          <w:lang w:eastAsia="es-ES"/>
        </w:rPr>
        <w:t>RECURSO DE ALZADA contra la Resolución, de 18 de abril de 2023,</w:t>
      </w:r>
      <w:r w:rsidRPr="006B5700">
        <w:rPr>
          <w:rFonts w:ascii="HP Simplified" w:eastAsia="Times New Roman" w:hAnsi="HP Simplified" w:cstheme="minorHAnsi"/>
          <w:color w:val="404040" w:themeColor="text1" w:themeTint="BF"/>
          <w:sz w:val="24"/>
          <w:szCs w:val="24"/>
          <w:lang w:eastAsia="es-ES"/>
        </w:rPr>
        <w:t xml:space="preserve"> del Servicio Territorial de Industria, Comercio y Economía de la Junta de Castilla y León, en León, por la que se concede la </w:t>
      </w:r>
      <w:r w:rsidRPr="006B5700">
        <w:rPr>
          <w:rFonts w:ascii="HP Simplified" w:eastAsia="Times New Roman" w:hAnsi="HP Simplified" w:cstheme="minorHAnsi"/>
          <w:b/>
          <w:color w:val="404040" w:themeColor="text1" w:themeTint="BF"/>
          <w:sz w:val="24"/>
          <w:szCs w:val="24"/>
          <w:lang w:eastAsia="es-ES"/>
        </w:rPr>
        <w:t>autorización administrativa previa y autorización administrativa de construcción</w:t>
      </w:r>
      <w:r w:rsidRPr="006B5700">
        <w:rPr>
          <w:rFonts w:ascii="HP Simplified" w:eastAsia="Times New Roman" w:hAnsi="HP Simplified" w:cstheme="minorHAnsi"/>
          <w:color w:val="404040" w:themeColor="text1" w:themeTint="BF"/>
          <w:sz w:val="24"/>
          <w:szCs w:val="24"/>
          <w:lang w:eastAsia="es-ES"/>
        </w:rPr>
        <w:t xml:space="preserve">, para </w:t>
      </w:r>
      <w:r w:rsidRPr="006B5700">
        <w:rPr>
          <w:rFonts w:ascii="HP Simplified" w:eastAsia="Times New Roman" w:hAnsi="HP Simplified" w:cstheme="minorHAnsi"/>
          <w:b/>
          <w:color w:val="404040" w:themeColor="text1" w:themeTint="BF"/>
          <w:sz w:val="24"/>
          <w:szCs w:val="24"/>
          <w:lang w:eastAsia="es-ES"/>
        </w:rPr>
        <w:t xml:space="preserve">“PE Ucedo”, </w:t>
      </w:r>
      <w:r w:rsidRPr="006B5700">
        <w:rPr>
          <w:rFonts w:ascii="HP Simplified" w:eastAsia="Times New Roman" w:hAnsi="HP Simplified" w:cstheme="minorHAnsi"/>
          <w:color w:val="404040" w:themeColor="text1" w:themeTint="BF"/>
          <w:sz w:val="24"/>
          <w:szCs w:val="24"/>
          <w:lang w:eastAsia="es-ES"/>
        </w:rPr>
        <w:t>y la Declaración de Impacto Ambiental, contrarias a Derecho, estimando el Recurso interpuesto con todas las consecuencias jurídicas inherentes a la estimación del mismo</w:t>
      </w:r>
      <w:r w:rsidRPr="006B5700">
        <w:rPr>
          <w:rFonts w:ascii="HP Simplified" w:hAnsi="HP Simplified" w:cstheme="minorHAnsi"/>
          <w:color w:val="404040" w:themeColor="text1" w:themeTint="BF"/>
          <w:sz w:val="24"/>
          <w:szCs w:val="24"/>
        </w:rPr>
        <w:t xml:space="preserve">. </w:t>
      </w:r>
    </w:p>
    <w:p w14:paraId="204BD6C4" w14:textId="77777777" w:rsidR="003042C8" w:rsidRPr="001F1B81" w:rsidRDefault="003042C8" w:rsidP="003042C8">
      <w:pPr>
        <w:spacing w:before="120" w:after="120" w:line="240" w:lineRule="auto"/>
        <w:ind w:firstLine="708"/>
        <w:jc w:val="both"/>
        <w:rPr>
          <w:rFonts w:ascii="HP Simplified" w:hAnsi="HP Simplified" w:cstheme="minorHAnsi"/>
          <w:sz w:val="24"/>
          <w:szCs w:val="24"/>
        </w:rPr>
      </w:pPr>
      <w:r w:rsidRPr="001F1B81">
        <w:rPr>
          <w:rFonts w:ascii="HP Simplified" w:hAnsi="HP Simplified" w:cstheme="minorHAnsi"/>
          <w:sz w:val="24"/>
          <w:szCs w:val="24"/>
        </w:rPr>
        <w:t>Se solicita, así mismo, que se tenga por solicitada expresamente la suspensión de la vigencia del acto hasta que se resuelva el recurso de alzada en aplicación del artículo 117 de la Ley 39/2015, pues se cumplen los requisitos que exige dicho precepto. La ejecución del acto impugnado se entenderá suspendida si transcurrido un mes desde que la solicitud de suspensión haya tenido entrada en el registro electrónico de la Administración u Organismo competente para decidir sobre la misma, el órgano a quien competa resolver el recurso, no haya dictado y notificado resolución expresa al respecto.</w:t>
      </w:r>
    </w:p>
    <w:p w14:paraId="187AE570" w14:textId="77777777" w:rsidR="003042C8" w:rsidRPr="001F1B81" w:rsidRDefault="003042C8" w:rsidP="003042C8">
      <w:pPr>
        <w:spacing w:before="120" w:after="120"/>
        <w:ind w:firstLine="709"/>
        <w:jc w:val="both"/>
        <w:rPr>
          <w:rFonts w:ascii="HP Simplified" w:hAnsi="HP Simplified" w:cstheme="minorHAnsi"/>
          <w:sz w:val="24"/>
          <w:szCs w:val="24"/>
        </w:rPr>
      </w:pPr>
    </w:p>
    <w:p w14:paraId="3DC0B10F" w14:textId="2EA133AD" w:rsidR="003042C8" w:rsidRPr="001F1B81" w:rsidRDefault="003042C8" w:rsidP="001B22AD">
      <w:pPr>
        <w:spacing w:before="120" w:after="120"/>
        <w:jc w:val="center"/>
        <w:rPr>
          <w:rFonts w:ascii="HP Simplified" w:hAnsi="HP Simplified" w:cstheme="minorHAnsi"/>
          <w:b/>
          <w:bCs/>
          <w:color w:val="FF0000"/>
          <w:sz w:val="24"/>
          <w:szCs w:val="24"/>
        </w:rPr>
      </w:pPr>
      <w:r w:rsidRPr="001F1B81">
        <w:rPr>
          <w:rFonts w:ascii="HP Simplified" w:hAnsi="HP Simplified" w:cstheme="minorHAnsi"/>
          <w:b/>
          <w:bCs/>
          <w:color w:val="FF0000"/>
          <w:sz w:val="24"/>
          <w:szCs w:val="24"/>
        </w:rPr>
        <w:t>En Ponferrada, a 2</w:t>
      </w:r>
      <w:r w:rsidR="00917195">
        <w:rPr>
          <w:rFonts w:ascii="HP Simplified" w:hAnsi="HP Simplified" w:cstheme="minorHAnsi"/>
          <w:b/>
          <w:bCs/>
          <w:color w:val="FF0000"/>
          <w:sz w:val="24"/>
          <w:szCs w:val="24"/>
        </w:rPr>
        <w:t>4</w:t>
      </w:r>
      <w:r w:rsidRPr="001F1B81">
        <w:rPr>
          <w:rFonts w:ascii="HP Simplified" w:hAnsi="HP Simplified" w:cstheme="minorHAnsi"/>
          <w:b/>
          <w:bCs/>
          <w:color w:val="FF0000"/>
          <w:sz w:val="24"/>
          <w:szCs w:val="24"/>
        </w:rPr>
        <w:t xml:space="preserve"> de </w:t>
      </w:r>
      <w:r w:rsidR="0035390E">
        <w:rPr>
          <w:rFonts w:ascii="HP Simplified" w:hAnsi="HP Simplified" w:cstheme="minorHAnsi"/>
          <w:b/>
          <w:bCs/>
          <w:color w:val="FF0000"/>
          <w:sz w:val="24"/>
          <w:szCs w:val="24"/>
        </w:rPr>
        <w:t>junio</w:t>
      </w:r>
      <w:r w:rsidRPr="001F1B81">
        <w:rPr>
          <w:rFonts w:ascii="HP Simplified" w:hAnsi="HP Simplified" w:cstheme="minorHAnsi"/>
          <w:b/>
          <w:bCs/>
          <w:color w:val="FF0000"/>
          <w:sz w:val="24"/>
          <w:szCs w:val="24"/>
        </w:rPr>
        <w:t xml:space="preserve"> de 2023</w:t>
      </w:r>
    </w:p>
    <w:p w14:paraId="24556F35" w14:textId="77777777" w:rsidR="003042C8" w:rsidRPr="001F1B81" w:rsidRDefault="003042C8" w:rsidP="001B22AD">
      <w:pPr>
        <w:spacing w:before="120" w:after="120"/>
        <w:jc w:val="center"/>
        <w:rPr>
          <w:rFonts w:ascii="HP Simplified" w:hAnsi="HP Simplified" w:cstheme="minorHAnsi"/>
          <w:color w:val="404040" w:themeColor="text1" w:themeTint="BF"/>
          <w:sz w:val="24"/>
          <w:szCs w:val="24"/>
        </w:rPr>
      </w:pPr>
    </w:p>
    <w:p w14:paraId="7C980729" w14:textId="77777777" w:rsidR="003042C8" w:rsidRPr="001F1B81" w:rsidRDefault="003042C8" w:rsidP="001B22AD">
      <w:pPr>
        <w:spacing w:before="120" w:after="120"/>
        <w:jc w:val="center"/>
        <w:rPr>
          <w:rFonts w:ascii="HP Simplified" w:hAnsi="HP Simplified" w:cstheme="minorHAnsi"/>
          <w:color w:val="404040" w:themeColor="text1" w:themeTint="BF"/>
          <w:sz w:val="24"/>
          <w:szCs w:val="24"/>
        </w:rPr>
      </w:pPr>
    </w:p>
    <w:p w14:paraId="6F57B7F6" w14:textId="77777777" w:rsidR="003042C8" w:rsidRPr="00FB65D6" w:rsidRDefault="003042C8" w:rsidP="001B22AD">
      <w:pPr>
        <w:spacing w:before="120" w:after="120"/>
        <w:jc w:val="center"/>
        <w:rPr>
          <w:rFonts w:ascii="HP Simplified" w:hAnsi="HP Simplified" w:cstheme="minorHAnsi"/>
          <w:b/>
          <w:bCs/>
          <w:color w:val="FF0000"/>
          <w:sz w:val="24"/>
          <w:szCs w:val="24"/>
        </w:rPr>
      </w:pPr>
      <w:r w:rsidRPr="001F1B81">
        <w:rPr>
          <w:rFonts w:ascii="HP Simplified" w:hAnsi="HP Simplified" w:cstheme="minorHAnsi"/>
          <w:b/>
          <w:bCs/>
          <w:color w:val="FF0000"/>
          <w:sz w:val="24"/>
          <w:szCs w:val="24"/>
        </w:rPr>
        <w:t>Fdo. XXXXXXXXXXXXXXXXX</w:t>
      </w:r>
    </w:p>
    <w:p w14:paraId="0B0E4349" w14:textId="77777777" w:rsidR="00D74CA4" w:rsidRDefault="00000000"/>
    <w:sectPr w:rsidR="00D74CA4" w:rsidSect="001F1B81">
      <w:pgSz w:w="11906" w:h="16838"/>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P Simplified">
    <w:panose1 w:val="020B0604020204020204"/>
    <w:charset w:val="00"/>
    <w:family w:val="swiss"/>
    <w:pitch w:val="variable"/>
    <w:sig w:usb0="A00000A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Dutch801 Rm BT">
    <w:altName w:val="Dutch801 Rm B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ource Sans Pro">
    <w:altName w:val="Arial"/>
    <w:charset w:val="00"/>
    <w:family w:val="swiss"/>
    <w:pitch w:val="variable"/>
    <w:sig w:usb0="600002F7" w:usb1="02000001" w:usb2="0000000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A295FFE"/>
    <w:multiLevelType w:val="hybridMultilevel"/>
    <w:tmpl w:val="6A41BA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F26035"/>
    <w:multiLevelType w:val="hybridMultilevel"/>
    <w:tmpl w:val="2CB803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7C24EAE"/>
    <w:multiLevelType w:val="hybridMultilevel"/>
    <w:tmpl w:val="43B83F8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A0F01AC"/>
    <w:multiLevelType w:val="hybridMultilevel"/>
    <w:tmpl w:val="A3765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E033A81"/>
    <w:multiLevelType w:val="hybridMultilevel"/>
    <w:tmpl w:val="2FBEEC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0A66371"/>
    <w:multiLevelType w:val="hybridMultilevel"/>
    <w:tmpl w:val="7048D87C"/>
    <w:lvl w:ilvl="0" w:tplc="0C0A000F">
      <w:start w:val="1"/>
      <w:numFmt w:val="decimal"/>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3782548"/>
    <w:multiLevelType w:val="hybridMultilevel"/>
    <w:tmpl w:val="66E4B8B8"/>
    <w:lvl w:ilvl="0" w:tplc="463AAA86">
      <w:start w:val="1"/>
      <w:numFmt w:val="lowerLetter"/>
      <w:lvlText w:val="%1)"/>
      <w:lvlJc w:val="left"/>
      <w:pPr>
        <w:ind w:left="644" w:hanging="360"/>
      </w:pPr>
      <w:rPr>
        <w:rFonts w:ascii="Calibri" w:hAnsi="Calibri" w:cs="Calibri" w:hint="default"/>
        <w:color w:val="000000"/>
        <w:sz w:val="22"/>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7" w15:restartNumberingAfterBreak="0">
    <w:nsid w:val="167F330F"/>
    <w:multiLevelType w:val="hybridMultilevel"/>
    <w:tmpl w:val="B02E61B8"/>
    <w:lvl w:ilvl="0" w:tplc="7758D256">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 w15:restartNumberingAfterBreak="0">
    <w:nsid w:val="17DB5187"/>
    <w:multiLevelType w:val="hybridMultilevel"/>
    <w:tmpl w:val="F2A68FEC"/>
    <w:lvl w:ilvl="0" w:tplc="D4CE6B6C">
      <w:start w:val="1"/>
      <w:numFmt w:val="bullet"/>
      <w:lvlText w:val=""/>
      <w:lvlJc w:val="left"/>
      <w:pPr>
        <w:ind w:left="1004" w:hanging="360"/>
      </w:pPr>
      <w:rPr>
        <w:rFonts w:ascii="Symbol" w:hAnsi="Symbol" w:hint="default"/>
      </w:rPr>
    </w:lvl>
    <w:lvl w:ilvl="1" w:tplc="705E6AA0">
      <w:start w:val="1"/>
      <w:numFmt w:val="bullet"/>
      <w:lvlText w:val="o"/>
      <w:lvlJc w:val="left"/>
      <w:pPr>
        <w:ind w:left="1724" w:hanging="360"/>
      </w:pPr>
      <w:rPr>
        <w:rFonts w:ascii="Courier New" w:hAnsi="Courier New" w:cs="Courier New" w:hint="default"/>
      </w:rPr>
    </w:lvl>
    <w:lvl w:ilvl="2" w:tplc="D276AD9C">
      <w:start w:val="1"/>
      <w:numFmt w:val="bullet"/>
      <w:lvlText w:val=""/>
      <w:lvlJc w:val="left"/>
      <w:pPr>
        <w:ind w:left="2444" w:hanging="360"/>
      </w:pPr>
      <w:rPr>
        <w:rFonts w:ascii="Wingdings" w:hAnsi="Wingdings" w:hint="default"/>
      </w:rPr>
    </w:lvl>
    <w:lvl w:ilvl="3" w:tplc="C0E20FFA">
      <w:start w:val="1"/>
      <w:numFmt w:val="bullet"/>
      <w:lvlText w:val=""/>
      <w:lvlJc w:val="left"/>
      <w:pPr>
        <w:ind w:left="3164" w:hanging="360"/>
      </w:pPr>
      <w:rPr>
        <w:rFonts w:ascii="Symbol" w:hAnsi="Symbol" w:hint="default"/>
      </w:rPr>
    </w:lvl>
    <w:lvl w:ilvl="4" w:tplc="451EDDD8">
      <w:start w:val="1"/>
      <w:numFmt w:val="bullet"/>
      <w:lvlText w:val="o"/>
      <w:lvlJc w:val="left"/>
      <w:pPr>
        <w:ind w:left="3884" w:hanging="360"/>
      </w:pPr>
      <w:rPr>
        <w:rFonts w:ascii="Courier New" w:hAnsi="Courier New" w:cs="Courier New" w:hint="default"/>
      </w:rPr>
    </w:lvl>
    <w:lvl w:ilvl="5" w:tplc="6C7896C6">
      <w:start w:val="1"/>
      <w:numFmt w:val="bullet"/>
      <w:lvlText w:val=""/>
      <w:lvlJc w:val="left"/>
      <w:pPr>
        <w:ind w:left="4604" w:hanging="360"/>
      </w:pPr>
      <w:rPr>
        <w:rFonts w:ascii="Wingdings" w:hAnsi="Wingdings" w:hint="default"/>
      </w:rPr>
    </w:lvl>
    <w:lvl w:ilvl="6" w:tplc="D3C49A5A">
      <w:start w:val="1"/>
      <w:numFmt w:val="bullet"/>
      <w:lvlText w:val=""/>
      <w:lvlJc w:val="left"/>
      <w:pPr>
        <w:ind w:left="5324" w:hanging="360"/>
      </w:pPr>
      <w:rPr>
        <w:rFonts w:ascii="Symbol" w:hAnsi="Symbol" w:hint="default"/>
      </w:rPr>
    </w:lvl>
    <w:lvl w:ilvl="7" w:tplc="DC9CD54A">
      <w:start w:val="1"/>
      <w:numFmt w:val="bullet"/>
      <w:lvlText w:val="o"/>
      <w:lvlJc w:val="left"/>
      <w:pPr>
        <w:ind w:left="6044" w:hanging="360"/>
      </w:pPr>
      <w:rPr>
        <w:rFonts w:ascii="Courier New" w:hAnsi="Courier New" w:cs="Courier New" w:hint="default"/>
      </w:rPr>
    </w:lvl>
    <w:lvl w:ilvl="8" w:tplc="03FC4792">
      <w:start w:val="1"/>
      <w:numFmt w:val="bullet"/>
      <w:lvlText w:val=""/>
      <w:lvlJc w:val="left"/>
      <w:pPr>
        <w:ind w:left="6764" w:hanging="360"/>
      </w:pPr>
      <w:rPr>
        <w:rFonts w:ascii="Wingdings" w:hAnsi="Wingdings" w:hint="default"/>
      </w:rPr>
    </w:lvl>
  </w:abstractNum>
  <w:abstractNum w:abstractNumId="9" w15:restartNumberingAfterBreak="0">
    <w:nsid w:val="189D775E"/>
    <w:multiLevelType w:val="hybridMultilevel"/>
    <w:tmpl w:val="627EDD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A160230"/>
    <w:multiLevelType w:val="hybridMultilevel"/>
    <w:tmpl w:val="214606A6"/>
    <w:lvl w:ilvl="0" w:tplc="67161DAA">
      <w:start w:val="1"/>
      <w:numFmt w:val="decimal"/>
      <w:lvlText w:val="%1."/>
      <w:lvlJc w:val="left"/>
      <w:pPr>
        <w:ind w:left="1429" w:hanging="360"/>
      </w:pPr>
      <w:rPr>
        <w:rFont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15:restartNumberingAfterBreak="0">
    <w:nsid w:val="1A462267"/>
    <w:multiLevelType w:val="hybridMultilevel"/>
    <w:tmpl w:val="D8B6529C"/>
    <w:lvl w:ilvl="0" w:tplc="51E42640">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2" w15:restartNumberingAfterBreak="0">
    <w:nsid w:val="1A876B48"/>
    <w:multiLevelType w:val="hybridMultilevel"/>
    <w:tmpl w:val="56D8FB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D4A68BE"/>
    <w:multiLevelType w:val="hybridMultilevel"/>
    <w:tmpl w:val="8294E418"/>
    <w:lvl w:ilvl="0" w:tplc="EC04EE52">
      <w:start w:val="12"/>
      <w:numFmt w:val="bullet"/>
      <w:lvlText w:val="-"/>
      <w:lvlJc w:val="left"/>
      <w:pPr>
        <w:ind w:left="927" w:hanging="360"/>
      </w:pPr>
      <w:rPr>
        <w:rFonts w:ascii="Calibri" w:eastAsiaTheme="minorHAnsi" w:hAnsi="Calibri" w:cs="Calibri"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4" w15:restartNumberingAfterBreak="0">
    <w:nsid w:val="20761051"/>
    <w:multiLevelType w:val="hybridMultilevel"/>
    <w:tmpl w:val="AA04D1A0"/>
    <w:lvl w:ilvl="0" w:tplc="03BEF5A6">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0D25248"/>
    <w:multiLevelType w:val="multilevel"/>
    <w:tmpl w:val="D974CC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15:restartNumberingAfterBreak="0">
    <w:nsid w:val="226E0AC9"/>
    <w:multiLevelType w:val="multilevel"/>
    <w:tmpl w:val="F470208C"/>
    <w:lvl w:ilvl="0">
      <w:start w:val="1"/>
      <w:numFmt w:val="decimal"/>
      <w:lvlText w:val="%1."/>
      <w:lvlJc w:val="left"/>
      <w:pPr>
        <w:ind w:left="786" w:hanging="360"/>
      </w:pPr>
      <w:rPr>
        <w:b w:val="0"/>
      </w:rPr>
    </w:lvl>
    <w:lvl w:ilvl="1">
      <w:start w:val="1"/>
      <w:numFmt w:val="lowerLetter"/>
      <w:lvlText w:val="%2."/>
      <w:lvlJc w:val="left"/>
      <w:pPr>
        <w:ind w:left="1418" w:hanging="341"/>
      </w:pPr>
    </w:lvl>
    <w:lvl w:ilvl="2">
      <w:start w:val="1"/>
      <w:numFmt w:val="bullet"/>
      <w:lvlText w:val="•"/>
      <w:lvlJc w:val="left"/>
      <w:pPr>
        <w:ind w:left="1980" w:hanging="360"/>
      </w:pPr>
      <w:rPr>
        <w:rFonts w:ascii="Times New Roman" w:hAnsi="Times New Roman" w:cs="Times New Roman" w:hint="default"/>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2B8E1C9B"/>
    <w:multiLevelType w:val="hybridMultilevel"/>
    <w:tmpl w:val="5EA677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C6440C9"/>
    <w:multiLevelType w:val="hybridMultilevel"/>
    <w:tmpl w:val="D1A650EC"/>
    <w:lvl w:ilvl="0" w:tplc="F1866112">
      <w:start w:val="1"/>
      <w:numFmt w:val="lowerRoman"/>
      <w:lvlText w:val="(%1)"/>
      <w:lvlJc w:val="left"/>
      <w:pPr>
        <w:ind w:left="1428" w:hanging="72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9" w15:restartNumberingAfterBreak="0">
    <w:nsid w:val="2DBC4C5C"/>
    <w:multiLevelType w:val="multilevel"/>
    <w:tmpl w:val="0C0A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82365CF"/>
    <w:multiLevelType w:val="hybridMultilevel"/>
    <w:tmpl w:val="4B743124"/>
    <w:lvl w:ilvl="0" w:tplc="0C0A0001">
      <w:start w:val="1"/>
      <w:numFmt w:val="bullet"/>
      <w:lvlText w:val=""/>
      <w:lvlJc w:val="left"/>
      <w:pPr>
        <w:ind w:left="720" w:hanging="360"/>
      </w:pPr>
      <w:rPr>
        <w:rFonts w:ascii="Symbol" w:hAnsi="Symbol" w:hint="default"/>
      </w:rPr>
    </w:lvl>
    <w:lvl w:ilvl="1" w:tplc="845E7F96">
      <w:numFmt w:val="bullet"/>
      <w:lvlText w:val="-"/>
      <w:lvlJc w:val="left"/>
      <w:pPr>
        <w:ind w:left="1440" w:hanging="360"/>
      </w:pPr>
      <w:rPr>
        <w:rFonts w:ascii="Calibri" w:eastAsiaTheme="minorHAnsi"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8BC3A00"/>
    <w:multiLevelType w:val="hybridMultilevel"/>
    <w:tmpl w:val="844829C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9900E2D"/>
    <w:multiLevelType w:val="hybridMultilevel"/>
    <w:tmpl w:val="844829C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CEC7D40"/>
    <w:multiLevelType w:val="hybridMultilevel"/>
    <w:tmpl w:val="AC26AD42"/>
    <w:lvl w:ilvl="0" w:tplc="67161DAA">
      <w:start w:val="1"/>
      <w:numFmt w:val="decimal"/>
      <w:lvlText w:val="%1."/>
      <w:lvlJc w:val="left"/>
      <w:pPr>
        <w:ind w:left="720" w:hanging="360"/>
      </w:pPr>
    </w:lvl>
    <w:lvl w:ilvl="1" w:tplc="795A1322">
      <w:start w:val="1"/>
      <w:numFmt w:val="lowerLetter"/>
      <w:lvlText w:val="%2."/>
      <w:lvlJc w:val="left"/>
      <w:pPr>
        <w:ind w:left="1440" w:hanging="360"/>
      </w:pPr>
    </w:lvl>
    <w:lvl w:ilvl="2" w:tplc="5A6C5720">
      <w:start w:val="1"/>
      <w:numFmt w:val="lowerRoman"/>
      <w:lvlText w:val="%3."/>
      <w:lvlJc w:val="right"/>
      <w:pPr>
        <w:ind w:left="2160" w:hanging="180"/>
      </w:pPr>
    </w:lvl>
    <w:lvl w:ilvl="3" w:tplc="E13A1CA0">
      <w:start w:val="1"/>
      <w:numFmt w:val="decimal"/>
      <w:lvlText w:val="%4."/>
      <w:lvlJc w:val="left"/>
      <w:pPr>
        <w:ind w:left="2880" w:hanging="360"/>
      </w:pPr>
    </w:lvl>
    <w:lvl w:ilvl="4" w:tplc="6F80F3B8">
      <w:start w:val="1"/>
      <w:numFmt w:val="lowerLetter"/>
      <w:lvlText w:val="%5."/>
      <w:lvlJc w:val="left"/>
      <w:pPr>
        <w:ind w:left="3600" w:hanging="360"/>
      </w:pPr>
    </w:lvl>
    <w:lvl w:ilvl="5" w:tplc="94A8849A">
      <w:start w:val="1"/>
      <w:numFmt w:val="lowerRoman"/>
      <w:lvlText w:val="%6."/>
      <w:lvlJc w:val="right"/>
      <w:pPr>
        <w:ind w:left="4320" w:hanging="180"/>
      </w:pPr>
    </w:lvl>
    <w:lvl w:ilvl="6" w:tplc="A016099E">
      <w:start w:val="1"/>
      <w:numFmt w:val="decimal"/>
      <w:lvlText w:val="%7."/>
      <w:lvlJc w:val="left"/>
      <w:pPr>
        <w:ind w:left="5040" w:hanging="360"/>
      </w:pPr>
    </w:lvl>
    <w:lvl w:ilvl="7" w:tplc="33885444">
      <w:start w:val="1"/>
      <w:numFmt w:val="lowerLetter"/>
      <w:lvlText w:val="%8."/>
      <w:lvlJc w:val="left"/>
      <w:pPr>
        <w:ind w:left="5760" w:hanging="360"/>
      </w:pPr>
    </w:lvl>
    <w:lvl w:ilvl="8" w:tplc="0B4490AC">
      <w:start w:val="1"/>
      <w:numFmt w:val="lowerRoman"/>
      <w:lvlText w:val="%9."/>
      <w:lvlJc w:val="right"/>
      <w:pPr>
        <w:ind w:left="6480" w:hanging="180"/>
      </w:pPr>
    </w:lvl>
  </w:abstractNum>
  <w:abstractNum w:abstractNumId="24" w15:restartNumberingAfterBreak="0">
    <w:nsid w:val="45952408"/>
    <w:multiLevelType w:val="hybridMultilevel"/>
    <w:tmpl w:val="1AA0D2F0"/>
    <w:lvl w:ilvl="0" w:tplc="4C387E70">
      <w:start w:val="1"/>
      <w:numFmt w:val="lowerRoman"/>
      <w:lvlText w:val="(%1)"/>
      <w:lvlJc w:val="left"/>
      <w:pPr>
        <w:ind w:left="1080" w:hanging="720"/>
      </w:pPr>
      <w:rPr>
        <w:rFonts w:ascii="Century Gothic" w:hAnsi="Century Gothic" w:cs="Century Gothic"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9673204"/>
    <w:multiLevelType w:val="hybridMultilevel"/>
    <w:tmpl w:val="1A1C0C5E"/>
    <w:lvl w:ilvl="0" w:tplc="B8369A8A">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D255273"/>
    <w:multiLevelType w:val="hybridMultilevel"/>
    <w:tmpl w:val="9D647062"/>
    <w:lvl w:ilvl="0" w:tplc="EEA83E0E">
      <w:start w:val="1"/>
      <w:numFmt w:val="decimal"/>
      <w:lvlText w:val="%1."/>
      <w:lvlJc w:val="left"/>
      <w:pPr>
        <w:ind w:left="720" w:hanging="360"/>
      </w:pPr>
    </w:lvl>
    <w:lvl w:ilvl="1" w:tplc="EB0A5EB0">
      <w:start w:val="1"/>
      <w:numFmt w:val="lowerLetter"/>
      <w:lvlText w:val="%2."/>
      <w:lvlJc w:val="left"/>
      <w:pPr>
        <w:ind w:left="1440" w:hanging="360"/>
      </w:pPr>
    </w:lvl>
    <w:lvl w:ilvl="2" w:tplc="0FAEFC56">
      <w:start w:val="1"/>
      <w:numFmt w:val="lowerRoman"/>
      <w:lvlText w:val="%3."/>
      <w:lvlJc w:val="right"/>
      <w:pPr>
        <w:ind w:left="2160" w:hanging="180"/>
      </w:pPr>
    </w:lvl>
    <w:lvl w:ilvl="3" w:tplc="FED83614">
      <w:start w:val="1"/>
      <w:numFmt w:val="decimal"/>
      <w:lvlText w:val="%4."/>
      <w:lvlJc w:val="left"/>
      <w:pPr>
        <w:ind w:left="2880" w:hanging="360"/>
      </w:pPr>
    </w:lvl>
    <w:lvl w:ilvl="4" w:tplc="10EA3572">
      <w:start w:val="1"/>
      <w:numFmt w:val="lowerLetter"/>
      <w:lvlText w:val="%5."/>
      <w:lvlJc w:val="left"/>
      <w:pPr>
        <w:ind w:left="3600" w:hanging="360"/>
      </w:pPr>
    </w:lvl>
    <w:lvl w:ilvl="5" w:tplc="C910F438">
      <w:start w:val="1"/>
      <w:numFmt w:val="lowerRoman"/>
      <w:lvlText w:val="%6."/>
      <w:lvlJc w:val="right"/>
      <w:pPr>
        <w:ind w:left="4320" w:hanging="180"/>
      </w:pPr>
    </w:lvl>
    <w:lvl w:ilvl="6" w:tplc="A044C048">
      <w:start w:val="1"/>
      <w:numFmt w:val="decimal"/>
      <w:lvlText w:val="%7."/>
      <w:lvlJc w:val="left"/>
      <w:pPr>
        <w:ind w:left="5040" w:hanging="360"/>
      </w:pPr>
    </w:lvl>
    <w:lvl w:ilvl="7" w:tplc="03FC1F5C">
      <w:start w:val="1"/>
      <w:numFmt w:val="lowerLetter"/>
      <w:lvlText w:val="%8."/>
      <w:lvlJc w:val="left"/>
      <w:pPr>
        <w:ind w:left="5760" w:hanging="360"/>
      </w:pPr>
    </w:lvl>
    <w:lvl w:ilvl="8" w:tplc="69264234">
      <w:start w:val="1"/>
      <w:numFmt w:val="lowerRoman"/>
      <w:lvlText w:val="%9."/>
      <w:lvlJc w:val="right"/>
      <w:pPr>
        <w:ind w:left="6480" w:hanging="180"/>
      </w:pPr>
    </w:lvl>
  </w:abstractNum>
  <w:abstractNum w:abstractNumId="27" w15:restartNumberingAfterBreak="0">
    <w:nsid w:val="523F7B7C"/>
    <w:multiLevelType w:val="hybridMultilevel"/>
    <w:tmpl w:val="9EB04FFA"/>
    <w:lvl w:ilvl="0" w:tplc="31026CF6">
      <w:start w:val="16"/>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923537D"/>
    <w:multiLevelType w:val="hybridMultilevel"/>
    <w:tmpl w:val="3854641A"/>
    <w:lvl w:ilvl="0" w:tplc="6DC46800">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9" w15:restartNumberingAfterBreak="0">
    <w:nsid w:val="598938E5"/>
    <w:multiLevelType w:val="hybridMultilevel"/>
    <w:tmpl w:val="EFE6EE6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FBF7FBB"/>
    <w:multiLevelType w:val="hybridMultilevel"/>
    <w:tmpl w:val="FF529116"/>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1" w15:restartNumberingAfterBreak="0">
    <w:nsid w:val="6A627868"/>
    <w:multiLevelType w:val="hybridMultilevel"/>
    <w:tmpl w:val="FBE0846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70D8BFA0"/>
    <w:multiLevelType w:val="hybridMultilevel"/>
    <w:tmpl w:val="C61372A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71425825"/>
    <w:multiLevelType w:val="hybridMultilevel"/>
    <w:tmpl w:val="03F9F48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732356E8"/>
    <w:multiLevelType w:val="hybridMultilevel"/>
    <w:tmpl w:val="70DE58A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5" w15:restartNumberingAfterBreak="0">
    <w:nsid w:val="7B427671"/>
    <w:multiLevelType w:val="hybridMultilevel"/>
    <w:tmpl w:val="52F4BA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BC0364A"/>
    <w:multiLevelType w:val="multilevel"/>
    <w:tmpl w:val="E25C9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8A0D76"/>
    <w:multiLevelType w:val="hybridMultilevel"/>
    <w:tmpl w:val="0FE874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322509112">
    <w:abstractNumId w:val="27"/>
  </w:num>
  <w:num w:numId="2" w16cid:durableId="794909859">
    <w:abstractNumId w:val="5"/>
  </w:num>
  <w:num w:numId="3" w16cid:durableId="370619799">
    <w:abstractNumId w:val="19"/>
  </w:num>
  <w:num w:numId="4" w16cid:durableId="718088613">
    <w:abstractNumId w:val="16"/>
  </w:num>
  <w:num w:numId="5" w16cid:durableId="1367825925">
    <w:abstractNumId w:val="21"/>
  </w:num>
  <w:num w:numId="6" w16cid:durableId="1079328052">
    <w:abstractNumId w:val="22"/>
  </w:num>
  <w:num w:numId="7" w16cid:durableId="775101514">
    <w:abstractNumId w:val="25"/>
  </w:num>
  <w:num w:numId="8" w16cid:durableId="1789352564">
    <w:abstractNumId w:val="9"/>
  </w:num>
  <w:num w:numId="9" w16cid:durableId="1393116584">
    <w:abstractNumId w:val="31"/>
  </w:num>
  <w:num w:numId="10" w16cid:durableId="4633570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4293688">
    <w:abstractNumId w:val="29"/>
  </w:num>
  <w:num w:numId="12" w16cid:durableId="898780630">
    <w:abstractNumId w:val="17"/>
  </w:num>
  <w:num w:numId="13" w16cid:durableId="1498687052">
    <w:abstractNumId w:val="32"/>
  </w:num>
  <w:num w:numId="14" w16cid:durableId="2012676422">
    <w:abstractNumId w:val="33"/>
  </w:num>
  <w:num w:numId="15" w16cid:durableId="2100909268">
    <w:abstractNumId w:val="0"/>
  </w:num>
  <w:num w:numId="16" w16cid:durableId="199057941">
    <w:abstractNumId w:val="18"/>
  </w:num>
  <w:num w:numId="17" w16cid:durableId="206837958">
    <w:abstractNumId w:val="7"/>
  </w:num>
  <w:num w:numId="18" w16cid:durableId="277757639">
    <w:abstractNumId w:val="3"/>
  </w:num>
  <w:num w:numId="19" w16cid:durableId="633027407">
    <w:abstractNumId w:val="28"/>
  </w:num>
  <w:num w:numId="20" w16cid:durableId="370230098">
    <w:abstractNumId w:val="1"/>
  </w:num>
  <w:num w:numId="21" w16cid:durableId="1743212932">
    <w:abstractNumId w:val="15"/>
  </w:num>
  <w:num w:numId="22" w16cid:durableId="2041389964">
    <w:abstractNumId w:val="14"/>
  </w:num>
  <w:num w:numId="23" w16cid:durableId="1583754930">
    <w:abstractNumId w:val="11"/>
  </w:num>
  <w:num w:numId="24" w16cid:durableId="402874195">
    <w:abstractNumId w:val="4"/>
  </w:num>
  <w:num w:numId="25" w16cid:durableId="771976444">
    <w:abstractNumId w:val="24"/>
  </w:num>
  <w:num w:numId="26" w16cid:durableId="1408532176">
    <w:abstractNumId w:val="2"/>
  </w:num>
  <w:num w:numId="27" w16cid:durableId="912281690">
    <w:abstractNumId w:val="6"/>
  </w:num>
  <w:num w:numId="28" w16cid:durableId="1318875055">
    <w:abstractNumId w:val="12"/>
  </w:num>
  <w:num w:numId="29" w16cid:durableId="1605916038">
    <w:abstractNumId w:val="20"/>
  </w:num>
  <w:num w:numId="30" w16cid:durableId="1276254945">
    <w:abstractNumId w:val="13"/>
  </w:num>
  <w:num w:numId="31" w16cid:durableId="1427844858">
    <w:abstractNumId w:val="36"/>
  </w:num>
  <w:num w:numId="32" w16cid:durableId="1685479292">
    <w:abstractNumId w:val="35"/>
  </w:num>
  <w:num w:numId="33" w16cid:durableId="1647659336">
    <w:abstractNumId w:val="30"/>
  </w:num>
  <w:num w:numId="34" w16cid:durableId="542209565">
    <w:abstractNumId w:val="10"/>
  </w:num>
  <w:num w:numId="35" w16cid:durableId="307128007">
    <w:abstractNumId w:val="8"/>
  </w:num>
  <w:num w:numId="36" w16cid:durableId="510754698">
    <w:abstractNumId w:val="23"/>
  </w:num>
  <w:num w:numId="37" w16cid:durableId="938685179">
    <w:abstractNumId w:val="26"/>
  </w:num>
  <w:num w:numId="38" w16cid:durableId="17894810">
    <w:abstractNumId w:val="37"/>
  </w:num>
  <w:num w:numId="39" w16cid:durableId="208903150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759"/>
    <w:rsid w:val="00025561"/>
    <w:rsid w:val="00074ED5"/>
    <w:rsid w:val="001B22AD"/>
    <w:rsid w:val="003042C8"/>
    <w:rsid w:val="0035390E"/>
    <w:rsid w:val="00372759"/>
    <w:rsid w:val="004F4304"/>
    <w:rsid w:val="00574F93"/>
    <w:rsid w:val="008655C9"/>
    <w:rsid w:val="00917195"/>
    <w:rsid w:val="0093067D"/>
    <w:rsid w:val="00BE13D1"/>
    <w:rsid w:val="00C41B8F"/>
    <w:rsid w:val="00C54C64"/>
    <w:rsid w:val="00D7641D"/>
    <w:rsid w:val="00E74310"/>
    <w:rsid w:val="00F1769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5C31F"/>
  <w15:chartTrackingRefBased/>
  <w15:docId w15:val="{C1DC50F9-1949-46CD-9FD2-7FF7E1E4A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P Simplified" w:eastAsiaTheme="minorHAnsi" w:hAnsi="HP Simplified" w:cstheme="minorBidi"/>
        <w:color w:val="222222"/>
        <w:sz w:val="24"/>
        <w:szCs w:val="24"/>
        <w:lang w:val="es-E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2C8"/>
    <w:pPr>
      <w:spacing w:before="0" w:after="160" w:line="259" w:lineRule="auto"/>
      <w:jc w:val="left"/>
    </w:pPr>
    <w:rPr>
      <w:rFonts w:asciiTheme="minorHAnsi" w:hAnsiTheme="minorHAnsi"/>
      <w:color w:val="auto"/>
      <w:sz w:val="22"/>
      <w:szCs w:val="22"/>
    </w:rPr>
  </w:style>
  <w:style w:type="paragraph" w:styleId="Ttulo1">
    <w:name w:val="heading 1"/>
    <w:basedOn w:val="Normal"/>
    <w:next w:val="Normal"/>
    <w:link w:val="Ttulo1Car"/>
    <w:uiPriority w:val="9"/>
    <w:qFormat/>
    <w:rsid w:val="003042C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ar"/>
    <w:uiPriority w:val="9"/>
    <w:unhideWhenUsed/>
    <w:qFormat/>
    <w:rsid w:val="003042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4">
    <w:name w:val="heading 4"/>
    <w:basedOn w:val="Normal"/>
    <w:next w:val="Normal"/>
    <w:link w:val="Ttulo4Car"/>
    <w:uiPriority w:val="9"/>
    <w:semiHidden/>
    <w:unhideWhenUsed/>
    <w:qFormat/>
    <w:rsid w:val="003042C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2C8"/>
    <w:rPr>
      <w:rFonts w:asciiTheme="majorHAnsi" w:eastAsiaTheme="majorEastAsia" w:hAnsiTheme="majorHAnsi" w:cstheme="majorBidi"/>
      <w:b/>
      <w:bCs/>
      <w:color w:val="2F5496" w:themeColor="accent1" w:themeShade="BF"/>
      <w:sz w:val="28"/>
      <w:szCs w:val="28"/>
    </w:rPr>
  </w:style>
  <w:style w:type="character" w:customStyle="1" w:styleId="Ttulo2Car">
    <w:name w:val="Título 2 Car"/>
    <w:basedOn w:val="Fuentedeprrafopredeter"/>
    <w:link w:val="Ttulo2"/>
    <w:uiPriority w:val="9"/>
    <w:rsid w:val="003042C8"/>
    <w:rPr>
      <w:rFonts w:asciiTheme="majorHAnsi" w:eastAsiaTheme="majorEastAsia" w:hAnsiTheme="majorHAnsi" w:cstheme="majorBidi"/>
      <w:color w:val="2F5496" w:themeColor="accent1" w:themeShade="BF"/>
      <w:sz w:val="26"/>
      <w:szCs w:val="26"/>
    </w:rPr>
  </w:style>
  <w:style w:type="character" w:customStyle="1" w:styleId="Ttulo4Car">
    <w:name w:val="Título 4 Car"/>
    <w:basedOn w:val="Fuentedeprrafopredeter"/>
    <w:link w:val="Ttulo4"/>
    <w:uiPriority w:val="9"/>
    <w:semiHidden/>
    <w:rsid w:val="003042C8"/>
    <w:rPr>
      <w:rFonts w:asciiTheme="majorHAnsi" w:eastAsiaTheme="majorEastAsia" w:hAnsiTheme="majorHAnsi" w:cstheme="majorBidi"/>
      <w:i/>
      <w:iCs/>
      <w:color w:val="2F5496" w:themeColor="accent1" w:themeShade="BF"/>
      <w:sz w:val="22"/>
      <w:szCs w:val="22"/>
    </w:rPr>
  </w:style>
  <w:style w:type="paragraph" w:customStyle="1" w:styleId="Default">
    <w:name w:val="Default"/>
    <w:rsid w:val="003042C8"/>
    <w:pPr>
      <w:autoSpaceDE w:val="0"/>
      <w:autoSpaceDN w:val="0"/>
      <w:adjustRightInd w:val="0"/>
      <w:spacing w:before="0" w:after="0"/>
      <w:jc w:val="left"/>
    </w:pPr>
    <w:rPr>
      <w:rFonts w:ascii="Liberation Serif" w:hAnsi="Liberation Serif" w:cs="Liberation Serif"/>
      <w:color w:val="000000"/>
    </w:rPr>
  </w:style>
  <w:style w:type="paragraph" w:styleId="Prrafodelista">
    <w:name w:val="List Paragraph"/>
    <w:basedOn w:val="Normal"/>
    <w:uiPriority w:val="34"/>
    <w:qFormat/>
    <w:rsid w:val="003042C8"/>
    <w:pPr>
      <w:ind w:left="720"/>
      <w:contextualSpacing/>
    </w:pPr>
  </w:style>
  <w:style w:type="table" w:styleId="Tablaconcuadrcula">
    <w:name w:val="Table Grid"/>
    <w:basedOn w:val="Tablanormal"/>
    <w:uiPriority w:val="39"/>
    <w:rsid w:val="003042C8"/>
    <w:pPr>
      <w:spacing w:before="0" w:after="0"/>
      <w:jc w:val="left"/>
    </w:pPr>
    <w:rPr>
      <w:rFonts w:asciiTheme="minorHAnsi" w:hAnsiTheme="minorHAnsi"/>
      <w:color w:val="aut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042C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042C8"/>
    <w:rPr>
      <w:b/>
      <w:bCs/>
    </w:rPr>
  </w:style>
  <w:style w:type="character" w:styleId="Refdecomentario">
    <w:name w:val="annotation reference"/>
    <w:basedOn w:val="Fuentedeprrafopredeter"/>
    <w:uiPriority w:val="99"/>
    <w:semiHidden/>
    <w:unhideWhenUsed/>
    <w:rsid w:val="003042C8"/>
    <w:rPr>
      <w:sz w:val="16"/>
      <w:szCs w:val="16"/>
    </w:rPr>
  </w:style>
  <w:style w:type="paragraph" w:styleId="Textocomentario">
    <w:name w:val="annotation text"/>
    <w:basedOn w:val="Normal"/>
    <w:link w:val="TextocomentarioCar"/>
    <w:uiPriority w:val="99"/>
    <w:unhideWhenUsed/>
    <w:rsid w:val="003042C8"/>
    <w:pPr>
      <w:spacing w:line="240" w:lineRule="auto"/>
    </w:pPr>
    <w:rPr>
      <w:sz w:val="20"/>
      <w:szCs w:val="20"/>
    </w:rPr>
  </w:style>
  <w:style w:type="character" w:customStyle="1" w:styleId="TextocomentarioCar">
    <w:name w:val="Texto comentario Car"/>
    <w:basedOn w:val="Fuentedeprrafopredeter"/>
    <w:link w:val="Textocomentario"/>
    <w:uiPriority w:val="99"/>
    <w:rsid w:val="003042C8"/>
    <w:rPr>
      <w:rFonts w:asciiTheme="minorHAnsi" w:hAnsiTheme="minorHAnsi"/>
      <w:color w:val="auto"/>
      <w:sz w:val="20"/>
      <w:szCs w:val="20"/>
    </w:rPr>
  </w:style>
  <w:style w:type="paragraph" w:styleId="Asuntodelcomentario">
    <w:name w:val="annotation subject"/>
    <w:basedOn w:val="Textocomentario"/>
    <w:next w:val="Textocomentario"/>
    <w:link w:val="AsuntodelcomentarioCar"/>
    <w:uiPriority w:val="99"/>
    <w:semiHidden/>
    <w:unhideWhenUsed/>
    <w:rsid w:val="003042C8"/>
    <w:rPr>
      <w:b/>
      <w:bCs/>
    </w:rPr>
  </w:style>
  <w:style w:type="character" w:customStyle="1" w:styleId="AsuntodelcomentarioCar">
    <w:name w:val="Asunto del comentario Car"/>
    <w:basedOn w:val="TextocomentarioCar"/>
    <w:link w:val="Asuntodelcomentario"/>
    <w:uiPriority w:val="99"/>
    <w:semiHidden/>
    <w:rsid w:val="003042C8"/>
    <w:rPr>
      <w:rFonts w:asciiTheme="minorHAnsi" w:hAnsiTheme="minorHAnsi"/>
      <w:b/>
      <w:bCs/>
      <w:color w:val="auto"/>
      <w:sz w:val="20"/>
      <w:szCs w:val="20"/>
    </w:rPr>
  </w:style>
  <w:style w:type="paragraph" w:styleId="Textodeglobo">
    <w:name w:val="Balloon Text"/>
    <w:basedOn w:val="Normal"/>
    <w:link w:val="TextodegloboCar"/>
    <w:uiPriority w:val="99"/>
    <w:semiHidden/>
    <w:unhideWhenUsed/>
    <w:rsid w:val="003042C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42C8"/>
    <w:rPr>
      <w:rFonts w:ascii="Segoe UI" w:hAnsi="Segoe UI" w:cs="Segoe UI"/>
      <w:color w:val="auto"/>
      <w:sz w:val="18"/>
      <w:szCs w:val="18"/>
    </w:rPr>
  </w:style>
  <w:style w:type="character" w:customStyle="1" w:styleId="TextonotapieCar">
    <w:name w:val="Texto nota pie Car"/>
    <w:basedOn w:val="Fuentedeprrafopredeter"/>
    <w:link w:val="Textonotapie"/>
    <w:uiPriority w:val="99"/>
    <w:qFormat/>
    <w:rsid w:val="003042C8"/>
    <w:rPr>
      <w:rFonts w:ascii="Times New Roman" w:eastAsia="Times New Roman" w:hAnsi="Times New Roman" w:cs="Times New Roman"/>
      <w:sz w:val="20"/>
      <w:szCs w:val="20"/>
    </w:rPr>
  </w:style>
  <w:style w:type="character" w:customStyle="1" w:styleId="Ancladenotaalpie">
    <w:name w:val="Ancla de nota al pie"/>
    <w:rsid w:val="003042C8"/>
    <w:rPr>
      <w:vertAlign w:val="superscript"/>
    </w:rPr>
  </w:style>
  <w:style w:type="character" w:customStyle="1" w:styleId="EnlacedeInternet">
    <w:name w:val="Enlace de Internet"/>
    <w:basedOn w:val="Fuentedeprrafopredeter"/>
    <w:uiPriority w:val="99"/>
    <w:unhideWhenUsed/>
    <w:rsid w:val="003042C8"/>
    <w:rPr>
      <w:color w:val="0563C1" w:themeColor="hyperlink"/>
      <w:u w:val="single"/>
    </w:rPr>
  </w:style>
  <w:style w:type="character" w:customStyle="1" w:styleId="BMParagrafosChar">
    <w:name w:val="BM_Paragrafos Char"/>
    <w:basedOn w:val="Fuentedeprrafopredeter"/>
    <w:link w:val="BMParagrafos"/>
    <w:qFormat/>
    <w:rsid w:val="003042C8"/>
    <w:rPr>
      <w:rFonts w:ascii="Times New Roman" w:eastAsia="Times New Roman" w:hAnsi="Times New Roman" w:cs="Times New Roman"/>
      <w:lang w:val="pt-BR" w:eastAsia="pt-BR"/>
    </w:rPr>
  </w:style>
  <w:style w:type="character" w:customStyle="1" w:styleId="Caracteresdenotaalpie">
    <w:name w:val="Caracteres de nota al pie"/>
    <w:qFormat/>
    <w:rsid w:val="003042C8"/>
  </w:style>
  <w:style w:type="paragraph" w:styleId="Textonotapie">
    <w:name w:val="footnote text"/>
    <w:basedOn w:val="Normal"/>
    <w:link w:val="TextonotapieCar"/>
    <w:uiPriority w:val="99"/>
    <w:rsid w:val="003042C8"/>
    <w:pPr>
      <w:spacing w:after="0" w:line="240" w:lineRule="auto"/>
    </w:pPr>
    <w:rPr>
      <w:rFonts w:ascii="Times New Roman" w:eastAsia="Times New Roman" w:hAnsi="Times New Roman" w:cs="Times New Roman"/>
      <w:color w:val="222222"/>
      <w:sz w:val="20"/>
      <w:szCs w:val="20"/>
    </w:rPr>
  </w:style>
  <w:style w:type="character" w:customStyle="1" w:styleId="TextonotapieCar1">
    <w:name w:val="Texto nota pie Car1"/>
    <w:basedOn w:val="Fuentedeprrafopredeter"/>
    <w:uiPriority w:val="99"/>
    <w:semiHidden/>
    <w:rsid w:val="003042C8"/>
    <w:rPr>
      <w:rFonts w:asciiTheme="minorHAnsi" w:hAnsiTheme="minorHAnsi"/>
      <w:color w:val="auto"/>
      <w:sz w:val="20"/>
      <w:szCs w:val="20"/>
    </w:rPr>
  </w:style>
  <w:style w:type="paragraph" w:customStyle="1" w:styleId="BMParagrafos">
    <w:name w:val="BM_Paragrafos"/>
    <w:basedOn w:val="Prrafodelista"/>
    <w:link w:val="BMParagrafosChar"/>
    <w:qFormat/>
    <w:rsid w:val="003042C8"/>
    <w:pPr>
      <w:spacing w:after="200" w:line="276" w:lineRule="auto"/>
      <w:ind w:left="360"/>
      <w:jc w:val="both"/>
    </w:pPr>
    <w:rPr>
      <w:rFonts w:ascii="Times New Roman" w:eastAsia="Times New Roman" w:hAnsi="Times New Roman" w:cs="Times New Roman"/>
      <w:color w:val="222222"/>
      <w:sz w:val="24"/>
      <w:szCs w:val="24"/>
      <w:lang w:val="pt-BR" w:eastAsia="pt-BR"/>
    </w:rPr>
  </w:style>
  <w:style w:type="paragraph" w:customStyle="1" w:styleId="Standard">
    <w:name w:val="Standard"/>
    <w:rsid w:val="003042C8"/>
    <w:pPr>
      <w:suppressAutoHyphens/>
      <w:autoSpaceDN w:val="0"/>
      <w:spacing w:before="0" w:after="0"/>
      <w:jc w:val="left"/>
      <w:textAlignment w:val="baseline"/>
    </w:pPr>
    <w:rPr>
      <w:rFonts w:ascii="Liberation Serif" w:eastAsia="NSimSun" w:hAnsi="Liberation Serif" w:cs="Lucida Sans"/>
      <w:color w:val="auto"/>
      <w:kern w:val="3"/>
      <w:lang w:eastAsia="zh-CN" w:bidi="hi-IN"/>
    </w:rPr>
  </w:style>
  <w:style w:type="character" w:styleId="nfasis">
    <w:name w:val="Emphasis"/>
    <w:rsid w:val="003042C8"/>
    <w:rPr>
      <w:i/>
      <w:iCs/>
    </w:rPr>
  </w:style>
  <w:style w:type="paragraph" w:customStyle="1" w:styleId="Pa24">
    <w:name w:val="Pa24"/>
    <w:basedOn w:val="Default"/>
    <w:next w:val="Default"/>
    <w:uiPriority w:val="99"/>
    <w:rsid w:val="003042C8"/>
    <w:pPr>
      <w:spacing w:line="181" w:lineRule="atLeast"/>
    </w:pPr>
    <w:rPr>
      <w:rFonts w:ascii="Dutch801 Rm BT" w:hAnsi="Dutch801 Rm BT" w:cstheme="minorBidi"/>
      <w:color w:val="auto"/>
    </w:rPr>
  </w:style>
  <w:style w:type="character" w:styleId="Refdenotaalpie">
    <w:name w:val="footnote reference"/>
    <w:basedOn w:val="Fuentedeprrafopredeter"/>
    <w:uiPriority w:val="99"/>
    <w:semiHidden/>
    <w:unhideWhenUsed/>
    <w:rsid w:val="003042C8"/>
    <w:rPr>
      <w:vertAlign w:val="superscript"/>
    </w:rPr>
  </w:style>
  <w:style w:type="character" w:styleId="Hipervnculo">
    <w:name w:val="Hyperlink"/>
    <w:basedOn w:val="Fuentedeprrafopredeter"/>
    <w:uiPriority w:val="99"/>
    <w:unhideWhenUsed/>
    <w:rsid w:val="003042C8"/>
    <w:rPr>
      <w:color w:val="0563C1" w:themeColor="hyperlink"/>
      <w:u w:val="single"/>
    </w:rPr>
  </w:style>
  <w:style w:type="paragraph" w:customStyle="1" w:styleId="xdef">
    <w:name w:val="xdef"/>
    <w:basedOn w:val="Normal"/>
    <w:rsid w:val="003042C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a13">
    <w:name w:val="Pa13"/>
    <w:basedOn w:val="Default"/>
    <w:next w:val="Default"/>
    <w:uiPriority w:val="99"/>
    <w:rsid w:val="003042C8"/>
    <w:pPr>
      <w:spacing w:line="181" w:lineRule="atLeast"/>
    </w:pPr>
    <w:rPr>
      <w:rFonts w:ascii="Dutch801 Rm BT" w:hAnsi="Dutch801 Rm BT" w:cstheme="minorBidi"/>
      <w:color w:val="auto"/>
    </w:rPr>
  </w:style>
  <w:style w:type="character" w:customStyle="1" w:styleId="hgkelc">
    <w:name w:val="hgkelc"/>
    <w:basedOn w:val="Fuentedeprrafopredeter"/>
    <w:rsid w:val="003042C8"/>
  </w:style>
  <w:style w:type="character" w:customStyle="1" w:styleId="has-inline-color">
    <w:name w:val="has-inline-color"/>
    <w:basedOn w:val="Fuentedeprrafopredeter"/>
    <w:rsid w:val="003042C8"/>
  </w:style>
  <w:style w:type="character" w:customStyle="1" w:styleId="markedcontent">
    <w:name w:val="markedcontent"/>
    <w:basedOn w:val="Fuentedeprrafopredeter"/>
    <w:rsid w:val="003042C8"/>
  </w:style>
  <w:style w:type="paragraph" w:customStyle="1" w:styleId="Pa23">
    <w:name w:val="Pa23"/>
    <w:basedOn w:val="Default"/>
    <w:next w:val="Default"/>
    <w:uiPriority w:val="99"/>
    <w:rsid w:val="003042C8"/>
    <w:pPr>
      <w:spacing w:line="181" w:lineRule="atLeast"/>
    </w:pPr>
    <w:rPr>
      <w:rFonts w:ascii="Dutch801 Rm BT" w:hAnsi="Dutch801 Rm BT" w:cstheme="minorBidi"/>
      <w:color w:val="auto"/>
    </w:rPr>
  </w:style>
  <w:style w:type="paragraph" w:styleId="z-Principiodelformulario">
    <w:name w:val="HTML Top of Form"/>
    <w:basedOn w:val="Normal"/>
    <w:next w:val="Normal"/>
    <w:link w:val="z-PrincipiodelformularioCar"/>
    <w:hidden/>
    <w:uiPriority w:val="99"/>
    <w:semiHidden/>
    <w:unhideWhenUsed/>
    <w:rsid w:val="003042C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3042C8"/>
    <w:rPr>
      <w:rFonts w:ascii="Arial" w:eastAsia="Times New Roman" w:hAnsi="Arial" w:cs="Arial"/>
      <w:vanish/>
      <w:color w:val="auto"/>
      <w:sz w:val="16"/>
      <w:szCs w:val="16"/>
      <w:lang w:eastAsia="es-ES"/>
    </w:rPr>
  </w:style>
  <w:style w:type="paragraph" w:styleId="z-Finaldelformulario">
    <w:name w:val="HTML Bottom of Form"/>
    <w:basedOn w:val="Normal"/>
    <w:next w:val="Normal"/>
    <w:link w:val="z-FinaldelformularioCar"/>
    <w:hidden/>
    <w:uiPriority w:val="99"/>
    <w:semiHidden/>
    <w:unhideWhenUsed/>
    <w:rsid w:val="003042C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3042C8"/>
    <w:rPr>
      <w:rFonts w:ascii="Arial" w:eastAsia="Times New Roman" w:hAnsi="Arial" w:cs="Arial"/>
      <w:vanish/>
      <w:color w:val="auto"/>
      <w:sz w:val="16"/>
      <w:szCs w:val="16"/>
      <w:lang w:eastAsia="es-ES"/>
    </w:rPr>
  </w:style>
  <w:style w:type="paragraph" w:customStyle="1" w:styleId="Normal1">
    <w:name w:val="Normal1"/>
    <w:rsid w:val="003042C8"/>
    <w:pPr>
      <w:widowControl w:val="0"/>
      <w:spacing w:before="0" w:after="0"/>
      <w:jc w:val="left"/>
    </w:pPr>
    <w:rPr>
      <w:rFonts w:ascii="Calibri" w:eastAsia="Calibri" w:hAnsi="Calibri" w:cs="Calibri"/>
      <w:color w:val="auto"/>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612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teco.gob.es/es/calidad-y-evaluacion-ambiental/temas/guiaelaboracionesiaplantasfotovoltaicassgea_tcm30-538300.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iteco.gob.es/es/calidad-y-evaluacion-ambiental/temas/guiaipenero21formatoarticulo25012021_tcm30-522384.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xxxxxxxxxx@xxxxxxxx.xxx" TargetMode="External"/><Relationship Id="rId11" Type="http://schemas.openxmlformats.org/officeDocument/2006/relationships/hyperlink" Target="https://www.miteco.gob.es/es/ministerio/planes-estrategias/hoja-ruta-autoconsumo/hojaderutaautoconsumo_tcm30-534411.pdf" TargetMode="External"/><Relationship Id="rId5" Type="http://schemas.openxmlformats.org/officeDocument/2006/relationships/hyperlink" Target="mailto:xxxxxxxxxx@xxxxxxxx.xxx" TargetMode="External"/><Relationship Id="rId10" Type="http://schemas.openxmlformats.org/officeDocument/2006/relationships/hyperlink" Target="https://app.congreso.es/consti/constitucion/indice/sinopsis/sinopsis.jsp?art=103&amp;tipo=2" TargetMode="External"/><Relationship Id="rId4" Type="http://schemas.openxmlformats.org/officeDocument/2006/relationships/webSettings" Target="webSettings.xml"/><Relationship Id="rId9" Type="http://schemas.openxmlformats.org/officeDocument/2006/relationships/hyperlink" Target="https://joint-research-centre.ec.europa.eu/scientific-tools-databases/energy-and-industry-geography-lab/go-areas-wind-and-solar_e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35</Pages>
  <Words>18038</Words>
  <Characters>99212</Characters>
  <Application>Microsoft Office Word</Application>
  <DocSecurity>0</DocSecurity>
  <Lines>826</Lines>
  <Paragraphs>234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6</cp:revision>
  <dcterms:created xsi:type="dcterms:W3CDTF">2023-06-18T19:11:00Z</dcterms:created>
  <dcterms:modified xsi:type="dcterms:W3CDTF">2023-06-20T18:41:00Z</dcterms:modified>
</cp:coreProperties>
</file>