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87B8A" w14:textId="77777777" w:rsidR="00165A75" w:rsidRPr="000879BB" w:rsidRDefault="00165A75" w:rsidP="000879BB">
      <w:pPr>
        <w:pStyle w:val="NormalWeb"/>
        <w:spacing w:before="0" w:beforeAutospacing="0" w:after="0" w:afterAutospacing="0"/>
        <w:jc w:val="right"/>
        <w:rPr>
          <w:rFonts w:ascii="Arial" w:hAnsi="Arial" w:cs="Arial"/>
          <w:sz w:val="20"/>
          <w:szCs w:val="20"/>
        </w:rPr>
      </w:pPr>
      <w:r w:rsidRPr="000879BB">
        <w:rPr>
          <w:rStyle w:val="Textoennegrita"/>
          <w:rFonts w:ascii="Arial" w:hAnsi="Arial" w:cs="Arial"/>
          <w:sz w:val="20"/>
          <w:szCs w:val="20"/>
        </w:rPr>
        <w:t>AL Servicio Territorial de Industria, Comercio y Economía de León</w:t>
      </w:r>
    </w:p>
    <w:p w14:paraId="24085997" w14:textId="77777777" w:rsidR="00165A75" w:rsidRPr="000879BB" w:rsidRDefault="00165A75" w:rsidP="000879BB">
      <w:pPr>
        <w:spacing w:after="0" w:line="240" w:lineRule="auto"/>
        <w:jc w:val="right"/>
        <w:rPr>
          <w:rFonts w:ascii="Arial" w:hAnsi="Arial" w:cs="Arial"/>
          <w:b/>
          <w:bCs/>
          <w:sz w:val="20"/>
          <w:szCs w:val="20"/>
        </w:rPr>
      </w:pPr>
      <w:r w:rsidRPr="000879BB">
        <w:rPr>
          <w:rFonts w:ascii="Arial" w:hAnsi="Arial" w:cs="Arial"/>
          <w:b/>
          <w:bCs/>
          <w:sz w:val="20"/>
          <w:szCs w:val="20"/>
        </w:rPr>
        <w:t>Avenida de Peregrinos, s/n,</w:t>
      </w:r>
    </w:p>
    <w:p w14:paraId="6F61C474" w14:textId="4416BD45" w:rsidR="00165A75" w:rsidRPr="000879BB" w:rsidRDefault="00165A75" w:rsidP="000879BB">
      <w:pPr>
        <w:spacing w:after="0" w:line="240" w:lineRule="auto"/>
        <w:ind w:left="1276" w:hanging="1276"/>
        <w:jc w:val="right"/>
        <w:rPr>
          <w:rFonts w:ascii="Arial" w:eastAsia="Source Sans Pro" w:hAnsi="Arial" w:cs="Arial"/>
          <w:b/>
          <w:sz w:val="20"/>
          <w:szCs w:val="20"/>
        </w:rPr>
      </w:pPr>
      <w:r w:rsidRPr="000879BB">
        <w:rPr>
          <w:rFonts w:ascii="Arial" w:eastAsia="Source Sans Pro" w:hAnsi="Arial" w:cs="Arial"/>
          <w:b/>
          <w:color w:val="000000"/>
          <w:sz w:val="20"/>
          <w:szCs w:val="20"/>
        </w:rPr>
        <w:t>24008 León</w:t>
      </w:r>
    </w:p>
    <w:p w14:paraId="06C14BAC" w14:textId="77777777" w:rsidR="00165A75" w:rsidRPr="000879BB" w:rsidRDefault="00165A75" w:rsidP="000879BB">
      <w:pPr>
        <w:spacing w:before="120" w:after="120" w:line="240" w:lineRule="auto"/>
        <w:jc w:val="both"/>
        <w:rPr>
          <w:rFonts w:ascii="Arial" w:hAnsi="Arial" w:cs="Arial"/>
          <w:b/>
          <w:bCs/>
          <w:sz w:val="20"/>
          <w:szCs w:val="20"/>
        </w:rPr>
      </w:pPr>
    </w:p>
    <w:p w14:paraId="114E661B" w14:textId="3767CC7E" w:rsidR="00FB6A82" w:rsidRPr="000879BB" w:rsidRDefault="00165A75" w:rsidP="000879BB">
      <w:pPr>
        <w:spacing w:before="120" w:after="120" w:line="240" w:lineRule="auto"/>
        <w:jc w:val="both"/>
        <w:rPr>
          <w:rFonts w:ascii="Arial" w:hAnsi="Arial" w:cs="Arial"/>
          <w:b/>
          <w:bCs/>
          <w:sz w:val="20"/>
          <w:szCs w:val="20"/>
        </w:rPr>
      </w:pPr>
      <w:r w:rsidRPr="000879BB">
        <w:rPr>
          <w:rFonts w:ascii="Arial" w:hAnsi="Arial" w:cs="Arial"/>
          <w:b/>
          <w:bCs/>
          <w:sz w:val="20"/>
          <w:szCs w:val="20"/>
        </w:rPr>
        <w:t>ASUNTO: ALEGACIONES INFORMACIÓN PÚBLICA de la solicitud efectuada por «BESS Development 10, S.L.», de las autorizaciones administrativa previa y de construcción de la instalación de almacenamiento energético stand-alone a través de baterías electroquímicas, denominada «Bess Peñadrada», de 35,14 MW de potencia instalada, y su infraestructura de evacuación asociada, a situar en los municipios de Toreno y Páramo del Sil (León), que inyecta energía a la red de transporte a la que se conecta y de la que también consume energía. Expte.: BAT.972.2024.</w:t>
      </w:r>
    </w:p>
    <w:p w14:paraId="56C6B629" w14:textId="108D842C" w:rsidR="00AD164D" w:rsidRPr="000879BB" w:rsidRDefault="00000000" w:rsidP="000879BB">
      <w:pPr>
        <w:spacing w:before="120" w:after="120"/>
        <w:jc w:val="both"/>
        <w:rPr>
          <w:rFonts w:ascii="Arial" w:hAnsi="Arial" w:cs="Arial"/>
          <w:sz w:val="20"/>
          <w:szCs w:val="20"/>
        </w:rPr>
      </w:pPr>
      <w:r w:rsidRPr="000879BB">
        <w:rPr>
          <w:rFonts w:ascii="Arial" w:hAnsi="Arial" w:cs="Arial"/>
          <w:sz w:val="20"/>
          <w:szCs w:val="20"/>
        </w:rPr>
        <w:t>D./D.ª ___________________________________________, mayor de edad, con DNI ________________</w:t>
      </w:r>
      <w:r w:rsidR="005A0E62" w:rsidRPr="000879BB">
        <w:rPr>
          <w:rFonts w:ascii="Arial" w:hAnsi="Arial" w:cs="Arial"/>
          <w:sz w:val="20"/>
          <w:szCs w:val="20"/>
        </w:rPr>
        <w:t>____________</w:t>
      </w:r>
      <w:r w:rsidRPr="000879BB">
        <w:rPr>
          <w:rFonts w:ascii="Arial" w:hAnsi="Arial" w:cs="Arial"/>
          <w:sz w:val="20"/>
          <w:szCs w:val="20"/>
        </w:rPr>
        <w:t xml:space="preserve">, y domicilio a efectos de notificaciones en </w:t>
      </w:r>
      <w:r w:rsidR="005A0E62" w:rsidRPr="000879BB">
        <w:rPr>
          <w:rFonts w:ascii="Arial" w:hAnsi="Arial" w:cs="Arial"/>
          <w:sz w:val="20"/>
          <w:szCs w:val="20"/>
        </w:rPr>
        <w:t>_</w:t>
      </w:r>
      <w:r w:rsidRPr="000879BB">
        <w:rPr>
          <w:rFonts w:ascii="Arial" w:hAnsi="Arial" w:cs="Arial"/>
          <w:sz w:val="20"/>
          <w:szCs w:val="20"/>
        </w:rPr>
        <w:t>__________________________________________, Código Postal ____________, municipio de ______________________________________, comparezco ante esta Administración y</w:t>
      </w:r>
      <w:r w:rsidR="000879BB">
        <w:rPr>
          <w:rFonts w:ascii="Arial" w:hAnsi="Arial" w:cs="Arial"/>
          <w:sz w:val="20"/>
          <w:szCs w:val="20"/>
        </w:rPr>
        <w:t xml:space="preserve"> </w:t>
      </w:r>
      <w:r w:rsidR="00AD164D" w:rsidRPr="000879BB">
        <w:rPr>
          <w:rFonts w:ascii="Arial" w:hAnsi="Arial" w:cs="Arial"/>
          <w:b/>
          <w:bCs/>
          <w:sz w:val="20"/>
          <w:szCs w:val="20"/>
        </w:rPr>
        <w:t>EXPO</w:t>
      </w:r>
      <w:r w:rsidR="000879BB">
        <w:rPr>
          <w:rFonts w:ascii="Arial" w:hAnsi="Arial" w:cs="Arial"/>
          <w:b/>
          <w:bCs/>
          <w:sz w:val="20"/>
          <w:szCs w:val="20"/>
        </w:rPr>
        <w:t>NGO</w:t>
      </w:r>
    </w:p>
    <w:p w14:paraId="7C2F6DA0" w14:textId="77777777" w:rsidR="000879BB" w:rsidRPr="000879BB" w:rsidRDefault="000879BB" w:rsidP="000879BB">
      <w:pPr>
        <w:spacing w:before="120" w:after="120" w:line="240" w:lineRule="auto"/>
        <w:jc w:val="both"/>
        <w:rPr>
          <w:rFonts w:ascii="Arial" w:hAnsi="Arial" w:cs="Arial"/>
          <w:sz w:val="20"/>
          <w:szCs w:val="20"/>
        </w:rPr>
      </w:pPr>
      <w:r w:rsidRPr="000879BB">
        <w:rPr>
          <w:rFonts w:ascii="Arial" w:hAnsi="Arial" w:cs="Arial"/>
          <w:sz w:val="20"/>
          <w:szCs w:val="20"/>
          <w:u w:val="single"/>
        </w:rPr>
        <w:t>Sobre la condición de parte interesada</w:t>
      </w:r>
      <w:r w:rsidRPr="000879BB">
        <w:rPr>
          <w:rFonts w:ascii="Arial" w:hAnsi="Arial" w:cs="Arial"/>
          <w:sz w:val="20"/>
          <w:szCs w:val="20"/>
        </w:rPr>
        <w:t>: Conforme al artículo 18 de la Ley 27/2006 y el artículo 4 de la Ley 39/2015, tener domicilio en la zona de influencia, así como de familiars, otorga un interés legítimo en este procedimiento y, por tanto, el derecho de personación sin necesidad de requerimientos adicionales. Conforme a la jurisprudencia del Tribunal Supremo (STS de 9 de abril de 2021, recurso 279/2020), la participación en procedimientos ambientales no puede ser obstaculizada con requisitos administrativos excesivos. La exigencia de acreditación de la condición de interesado tras la presentación de alegaciones contraviene el principio de participación pública efectiva reconocido en el Convenio de Aarhus y en la Ley 27/2006. En este sentido, cualquier requerimiento posterior para justificar la condición de interesado debe considerarse contrario a la legislación vigente y, en caso de ser exigido, se solicitará su anulación por vía administrativa y, si es necesario, por la vía contencioso-administrativa.</w:t>
      </w:r>
    </w:p>
    <w:p w14:paraId="686FD08D" w14:textId="428D81CB" w:rsidR="000879BB" w:rsidRDefault="000879BB" w:rsidP="000879BB">
      <w:pPr>
        <w:spacing w:before="120" w:after="120" w:line="240" w:lineRule="auto"/>
        <w:jc w:val="both"/>
        <w:rPr>
          <w:rFonts w:ascii="Arial" w:hAnsi="Arial" w:cs="Arial"/>
          <w:sz w:val="20"/>
          <w:szCs w:val="20"/>
        </w:rPr>
      </w:pPr>
      <w:r w:rsidRPr="000879BB">
        <w:rPr>
          <w:rFonts w:ascii="Arial" w:hAnsi="Arial" w:cs="Arial"/>
          <w:sz w:val="20"/>
          <w:szCs w:val="20"/>
        </w:rPr>
        <w:t xml:space="preserve">Que, de conformidad con el artículo 28 de la Ley 39/2015, de 1 de octubre, del Procedimiento Administrativo Común de las Administraciones Públicas, </w:t>
      </w:r>
      <w:r w:rsidRPr="000879BB">
        <w:rPr>
          <w:rFonts w:ascii="Arial" w:hAnsi="Arial" w:cs="Arial"/>
          <w:sz w:val="20"/>
          <w:szCs w:val="20"/>
          <w:u w:val="single"/>
        </w:rPr>
        <w:t>AUTORIZO</w:t>
      </w:r>
      <w:r w:rsidRPr="000879BB">
        <w:rPr>
          <w:rFonts w:ascii="Arial" w:hAnsi="Arial" w:cs="Arial"/>
          <w:sz w:val="20"/>
          <w:szCs w:val="20"/>
        </w:rPr>
        <w:t xml:space="preserve"> a esa Unidad Administrativa para que, compruebe mi identidad en los registros generales de verificación de datos de identidad, evitando así la necesidad de presentación del documento de identidad o del pasaporte.</w:t>
      </w:r>
    </w:p>
    <w:p w14:paraId="20472401" w14:textId="7CC4DF71" w:rsidR="00AD164D" w:rsidRPr="000879BB" w:rsidRDefault="00AD164D" w:rsidP="000879BB">
      <w:pPr>
        <w:spacing w:before="120" w:after="120" w:line="240" w:lineRule="auto"/>
        <w:jc w:val="both"/>
        <w:rPr>
          <w:rFonts w:ascii="Arial" w:eastAsia="Source Sans Pro" w:hAnsi="Arial" w:cs="Arial"/>
          <w:sz w:val="20"/>
          <w:szCs w:val="20"/>
        </w:rPr>
      </w:pPr>
      <w:r w:rsidRPr="000879BB">
        <w:rPr>
          <w:rFonts w:ascii="Arial" w:hAnsi="Arial" w:cs="Arial"/>
          <w:sz w:val="20"/>
          <w:szCs w:val="20"/>
        </w:rPr>
        <w:t xml:space="preserve">En relación al ANUNCIO del Servicio Territorial de Industria, Comercio y Economía de León, por el que se somete a información pública la solicitud efectuada por </w:t>
      </w:r>
      <w:r w:rsidRPr="000879BB">
        <w:rPr>
          <w:rFonts w:ascii="Arial" w:hAnsi="Arial" w:cs="Arial"/>
          <w:b/>
          <w:bCs/>
          <w:sz w:val="20"/>
          <w:szCs w:val="20"/>
        </w:rPr>
        <w:t>«BESS Development 10, S.L.»,</w:t>
      </w:r>
      <w:r w:rsidRPr="000879BB">
        <w:rPr>
          <w:rFonts w:ascii="Arial" w:hAnsi="Arial" w:cs="Arial"/>
          <w:sz w:val="20"/>
          <w:szCs w:val="20"/>
        </w:rPr>
        <w:t xml:space="preserve"> de las autorizaciones administrativa previa y de construcción de la instalación de almacenamiento energético stand-alone a través de baterías electroquímicas, denominada «Bess Peñadrada», de 35,14 MW de potencia instalada, y su infraestructura de evacuación asociada, a situar en los municipios de Toreno y Páramo del Sil (León), que inyecta energía a la red de transporte a la que se conecta y de la que también consume energía; publicado en el BOCYL de 26 de noviembre de 2025.</w:t>
      </w:r>
    </w:p>
    <w:p w14:paraId="33329374" w14:textId="27BCEC8F" w:rsidR="00F91C4B" w:rsidRPr="000879BB" w:rsidRDefault="00F91C4B" w:rsidP="000879BB">
      <w:pPr>
        <w:spacing w:before="120" w:after="120" w:line="240" w:lineRule="auto"/>
        <w:jc w:val="both"/>
        <w:rPr>
          <w:rFonts w:ascii="Arial" w:hAnsi="Arial" w:cs="Arial"/>
          <w:b/>
          <w:sz w:val="20"/>
          <w:szCs w:val="20"/>
        </w:rPr>
      </w:pPr>
      <w:r w:rsidRPr="000879BB">
        <w:rPr>
          <w:rFonts w:ascii="Arial" w:hAnsi="Arial" w:cs="Arial"/>
          <w:b/>
          <w:sz w:val="20"/>
          <w:szCs w:val="20"/>
        </w:rPr>
        <w:t>Que se tengan por presentadas las siguientes ALEGACIONES</w:t>
      </w:r>
    </w:p>
    <w:p w14:paraId="68F705ED" w14:textId="08F383B5" w:rsidR="00C51570" w:rsidRPr="000879BB" w:rsidRDefault="00C51570" w:rsidP="000879BB">
      <w:pPr>
        <w:spacing w:before="120" w:after="120" w:line="240" w:lineRule="auto"/>
        <w:jc w:val="both"/>
        <w:rPr>
          <w:rFonts w:ascii="Arial" w:hAnsi="Arial" w:cs="Arial"/>
          <w:b/>
          <w:sz w:val="20"/>
          <w:szCs w:val="20"/>
        </w:rPr>
      </w:pPr>
      <w:r w:rsidRPr="000879BB">
        <w:rPr>
          <w:rFonts w:ascii="Arial" w:hAnsi="Arial" w:cs="Arial"/>
          <w:b/>
          <w:sz w:val="20"/>
          <w:szCs w:val="20"/>
        </w:rPr>
        <w:t xml:space="preserve">Primero.- Incumplimiento de la normativa de protección del patrimonio cultural. </w:t>
      </w:r>
    </w:p>
    <w:p w14:paraId="3205B2D8" w14:textId="57610CA2" w:rsidR="00C51570" w:rsidRPr="000879BB" w:rsidRDefault="00C51570" w:rsidP="000879BB">
      <w:pPr>
        <w:spacing w:before="120" w:after="120" w:line="240" w:lineRule="auto"/>
        <w:jc w:val="both"/>
        <w:rPr>
          <w:rFonts w:ascii="Arial" w:hAnsi="Arial" w:cs="Arial"/>
          <w:sz w:val="20"/>
          <w:szCs w:val="20"/>
        </w:rPr>
      </w:pPr>
      <w:r w:rsidRPr="000879BB">
        <w:rPr>
          <w:rFonts w:ascii="Arial" w:hAnsi="Arial" w:cs="Arial"/>
          <w:sz w:val="20"/>
          <w:szCs w:val="20"/>
        </w:rPr>
        <w:t>La parcela 718 del Polígono 14 se encuentra dentro del paraje Fondo Veigas en el término municipal de Páramo del Sil. Esta parcela corresponde a una extensión de terreno rústico, que requeriría un procedimiento de Uso excepcional de suelo rústico.</w:t>
      </w:r>
      <w:r w:rsidR="000879BB">
        <w:rPr>
          <w:rFonts w:ascii="Arial" w:hAnsi="Arial" w:cs="Arial"/>
          <w:sz w:val="20"/>
          <w:szCs w:val="20"/>
        </w:rPr>
        <w:t xml:space="preserve"> </w:t>
      </w:r>
      <w:r w:rsidRPr="000879BB">
        <w:rPr>
          <w:rFonts w:ascii="Arial" w:hAnsi="Arial" w:cs="Arial"/>
          <w:sz w:val="20"/>
          <w:szCs w:val="20"/>
        </w:rPr>
        <w:t>Por su parte, el Complejo de La Recuelga (Lugares Vega S. Cruz, 9259) está ubicado precisamente en ese entorno. El polígono 14 bordea el complejo minero-industrial de La Recuelga. Específicamente, la parcela 718 es una de las que colindan directamente o se encuentran en el anexo de acceso más inmediato a las instalaciones y terrenos del complejo de La Recuelga, sobre la carretera CL-631.</w:t>
      </w:r>
    </w:p>
    <w:p w14:paraId="0D0C2DFD" w14:textId="54D08404" w:rsidR="00C51570" w:rsidRPr="000879BB" w:rsidRDefault="00C51570" w:rsidP="000879BB">
      <w:pPr>
        <w:spacing w:before="120" w:after="120" w:line="240" w:lineRule="auto"/>
        <w:jc w:val="both"/>
        <w:rPr>
          <w:rFonts w:ascii="Arial" w:eastAsia="Source Sans Pro" w:hAnsi="Arial" w:cs="Arial"/>
          <w:sz w:val="20"/>
          <w:szCs w:val="20"/>
        </w:rPr>
      </w:pPr>
      <w:r w:rsidRPr="000879BB">
        <w:rPr>
          <w:rFonts w:ascii="Arial" w:eastAsia="Source Sans Pro" w:hAnsi="Arial" w:cs="Arial"/>
          <w:sz w:val="20"/>
          <w:szCs w:val="20"/>
        </w:rPr>
        <w:t xml:space="preserve">Como figura en el Anuncio a información pública, el proyecto se sitúa sobre la parcela 718 del polígono 14 del paraje conocido como Fondo Veigas del municipio de Páramo del Sil, en la provincia de León, siendo su referencia catastral 24113A014007180000JY </w:t>
      </w:r>
      <w:r w:rsidR="00293595" w:rsidRPr="000879BB">
        <w:rPr>
          <w:rFonts w:ascii="Arial" w:eastAsia="Source Sans Pro" w:hAnsi="Arial" w:cs="Arial"/>
          <w:sz w:val="20"/>
          <w:szCs w:val="20"/>
        </w:rPr>
        <w:t>a</w:t>
      </w:r>
      <w:r w:rsidRPr="000879BB">
        <w:rPr>
          <w:rFonts w:ascii="Arial" w:hAnsi="Arial" w:cs="Arial"/>
          <w:color w:val="000000"/>
          <w:sz w:val="20"/>
          <w:szCs w:val="20"/>
        </w:rPr>
        <w:t>fecta</w:t>
      </w:r>
      <w:r w:rsidR="00293595" w:rsidRPr="000879BB">
        <w:rPr>
          <w:rFonts w:ascii="Arial" w:hAnsi="Arial" w:cs="Arial"/>
          <w:color w:val="000000"/>
          <w:sz w:val="20"/>
          <w:szCs w:val="20"/>
        </w:rPr>
        <w:t>ndo</w:t>
      </w:r>
      <w:r w:rsidR="000879BB">
        <w:rPr>
          <w:rFonts w:ascii="Arial" w:hAnsi="Arial" w:cs="Arial"/>
          <w:color w:val="000000"/>
          <w:sz w:val="20"/>
          <w:szCs w:val="20"/>
        </w:rPr>
        <w:t xml:space="preserve"> </w:t>
      </w:r>
      <w:r w:rsidRPr="000879BB">
        <w:rPr>
          <w:rFonts w:ascii="Arial" w:hAnsi="Arial" w:cs="Arial"/>
          <w:color w:val="000000"/>
          <w:sz w:val="20"/>
          <w:szCs w:val="20"/>
        </w:rPr>
        <w:t>al MUP nº383 y afecta a la zona de policía del río Sil.</w:t>
      </w:r>
      <w:r w:rsidR="000879BB">
        <w:rPr>
          <w:rFonts w:ascii="Arial" w:hAnsi="Arial" w:cs="Arial"/>
          <w:color w:val="000000"/>
          <w:sz w:val="20"/>
          <w:szCs w:val="20"/>
        </w:rPr>
        <w:t xml:space="preserve"> </w:t>
      </w:r>
      <w:r w:rsidRPr="000879BB">
        <w:rPr>
          <w:rFonts w:ascii="Arial" w:hAnsi="Arial" w:cs="Arial"/>
          <w:sz w:val="20"/>
          <w:szCs w:val="20"/>
        </w:rPr>
        <w:t xml:space="preserve">El entorno directamente colindante del proyecto coincide, pues, con el conjunto histórico minero de La Recuelga. El procedimiento para la declaración del complejo minero-industrial de La Recuelga como Bien de Interés Cultural (BIC), iniciado por la Resolución de diciembre de 2022, ya ha sido resuelto de forma definitiva. La declaración fue aprobada por la Junta de Castilla y León en el Consejo de Gobierno por Acuerdo 105/2024, de 7 de noviembre, de </w:t>
      </w:r>
      <w:r w:rsidRPr="000879BB">
        <w:rPr>
          <w:rFonts w:ascii="Arial" w:hAnsi="Arial" w:cs="Arial"/>
          <w:sz w:val="20"/>
          <w:szCs w:val="20"/>
        </w:rPr>
        <w:lastRenderedPageBreak/>
        <w:t>la Junta de Castilla y publicada en el Boletín Oficial de Castilla y León (BOCyL) el 11 de noviembre de 2024, con la categoría de Conjunto Etnológico. Esto implica que cualquier obra o intervención en el complejo minero-industrial de La Recuelga está sujeta a la autorización de la Consejería competente en materia de Patrimonio Cultural, a fin de garantizar la protección del bien declarado.</w:t>
      </w:r>
      <w:r w:rsidR="00D17E23">
        <w:rPr>
          <w:rFonts w:ascii="Arial" w:hAnsi="Arial" w:cs="Arial"/>
          <w:sz w:val="20"/>
          <w:szCs w:val="20"/>
        </w:rPr>
        <w:t xml:space="preserve"> </w:t>
      </w:r>
      <w:r w:rsidRPr="000879BB">
        <w:rPr>
          <w:rFonts w:ascii="Arial" w:eastAsia="Source Sans Pro" w:hAnsi="Arial" w:cs="Arial"/>
          <w:sz w:val="20"/>
          <w:szCs w:val="20"/>
        </w:rPr>
        <w:t>Se considera que la afección visual, paisajística y patrimonial del proyecto es incompatible con la adecuada conservación del BIC, debiendo prevalecer el interés general en la conservación del patrimonio cultural frente a iniciativas industriales que comprometan su integridad.</w:t>
      </w:r>
    </w:p>
    <w:p w14:paraId="4C983C87" w14:textId="18CB85D8" w:rsidR="00C51570" w:rsidRPr="000879BB" w:rsidRDefault="000879BB" w:rsidP="000879BB">
      <w:pPr>
        <w:spacing w:before="120" w:after="120" w:line="240" w:lineRule="auto"/>
        <w:jc w:val="both"/>
        <w:rPr>
          <w:rFonts w:ascii="Arial" w:eastAsia="Times New Roman" w:hAnsi="Arial" w:cs="Arial"/>
          <w:b/>
          <w:bCs/>
          <w:sz w:val="20"/>
          <w:szCs w:val="20"/>
          <w:lang w:eastAsia="es-ES"/>
        </w:rPr>
      </w:pPr>
      <w:r>
        <w:rPr>
          <w:rFonts w:ascii="Arial" w:eastAsia="Source Sans Pro" w:hAnsi="Arial" w:cs="Arial"/>
          <w:b/>
          <w:sz w:val="20"/>
          <w:szCs w:val="20"/>
        </w:rPr>
        <w:t>S</w:t>
      </w:r>
      <w:r w:rsidR="00A667CF" w:rsidRPr="000879BB">
        <w:rPr>
          <w:rFonts w:ascii="Arial" w:eastAsia="Source Sans Pro" w:hAnsi="Arial" w:cs="Arial"/>
          <w:b/>
          <w:sz w:val="20"/>
          <w:szCs w:val="20"/>
        </w:rPr>
        <w:t>egundo</w:t>
      </w:r>
      <w:r w:rsidR="00C51570" w:rsidRPr="000879BB">
        <w:rPr>
          <w:rFonts w:ascii="Arial" w:hAnsi="Arial" w:cs="Arial"/>
          <w:b/>
          <w:sz w:val="20"/>
          <w:szCs w:val="20"/>
        </w:rPr>
        <w:t xml:space="preserve">.- </w:t>
      </w:r>
      <w:r w:rsidR="00C51570" w:rsidRPr="000879BB">
        <w:rPr>
          <w:rFonts w:ascii="Arial" w:eastAsia="Times New Roman" w:hAnsi="Arial" w:cs="Arial"/>
          <w:b/>
          <w:bCs/>
          <w:sz w:val="20"/>
          <w:szCs w:val="20"/>
          <w:lang w:eastAsia="es-ES"/>
        </w:rPr>
        <w:t xml:space="preserve">Ausencia de base legal para la afección a Montes de Utilidad Pública </w:t>
      </w:r>
    </w:p>
    <w:p w14:paraId="2B00EFA5" w14:textId="2CECE80E" w:rsidR="00C51570" w:rsidRPr="000879BB" w:rsidRDefault="00C51570" w:rsidP="000879BB">
      <w:pPr>
        <w:spacing w:before="120" w:after="120" w:line="240" w:lineRule="auto"/>
        <w:jc w:val="both"/>
        <w:outlineLvl w:val="2"/>
        <w:rPr>
          <w:rFonts w:ascii="Arial" w:eastAsia="Times New Roman" w:hAnsi="Arial" w:cs="Arial"/>
          <w:sz w:val="20"/>
          <w:szCs w:val="20"/>
          <w:lang w:eastAsia="es-ES"/>
        </w:rPr>
      </w:pPr>
      <w:r w:rsidRPr="000879BB">
        <w:rPr>
          <w:rFonts w:ascii="Arial" w:eastAsia="Times New Roman" w:hAnsi="Arial" w:cs="Arial"/>
          <w:sz w:val="20"/>
          <w:szCs w:val="20"/>
          <w:u w:val="single"/>
          <w:lang w:eastAsia="es-ES"/>
        </w:rPr>
        <w:t>A. Condiciones para que la autorización surta efectos</w:t>
      </w:r>
      <w:r w:rsidR="000879BB">
        <w:rPr>
          <w:rFonts w:ascii="Arial" w:eastAsia="Times New Roman" w:hAnsi="Arial" w:cs="Arial"/>
          <w:sz w:val="20"/>
          <w:szCs w:val="20"/>
          <w:u w:val="single"/>
          <w:lang w:eastAsia="es-ES"/>
        </w:rPr>
        <w:t xml:space="preserve">: </w:t>
      </w:r>
      <w:r w:rsidRPr="000879BB">
        <w:rPr>
          <w:rFonts w:ascii="Arial" w:eastAsia="Times New Roman" w:hAnsi="Arial" w:cs="Arial"/>
          <w:sz w:val="20"/>
          <w:szCs w:val="20"/>
          <w:lang w:eastAsia="es-ES"/>
        </w:rPr>
        <w:t xml:space="preserve">La </w:t>
      </w:r>
      <w:r w:rsidRPr="000879BB">
        <w:rPr>
          <w:rFonts w:ascii="Arial" w:eastAsia="Times New Roman" w:hAnsi="Arial" w:cs="Arial"/>
          <w:b/>
          <w:bCs/>
          <w:sz w:val="20"/>
          <w:szCs w:val="20"/>
          <w:lang w:eastAsia="es-ES"/>
        </w:rPr>
        <w:t>Resolución de autorización administrativa previa y de construcción</w:t>
      </w:r>
      <w:r w:rsidRPr="000879BB">
        <w:rPr>
          <w:rFonts w:ascii="Arial" w:eastAsia="Times New Roman" w:hAnsi="Arial" w:cs="Arial"/>
          <w:sz w:val="20"/>
          <w:szCs w:val="20"/>
          <w:lang w:eastAsia="es-ES"/>
        </w:rPr>
        <w:t xml:space="preserve"> no otorga vía libre al proyecto, sino que establecería requisitos muy concretos antes de que pueda ejecutarse.</w:t>
      </w:r>
      <w:r w:rsidRPr="000879BB">
        <w:rPr>
          <w:rFonts w:ascii="Arial" w:eastAsia="Times New Roman" w:hAnsi="Arial" w:cs="Arial"/>
          <w:sz w:val="20"/>
          <w:szCs w:val="20"/>
          <w:lang w:eastAsia="es-ES"/>
        </w:rPr>
        <w:tab/>
      </w:r>
      <w:r w:rsidRPr="000879BB">
        <w:rPr>
          <w:rFonts w:ascii="Arial" w:eastAsia="Times New Roman" w:hAnsi="Arial" w:cs="Arial"/>
          <w:sz w:val="20"/>
          <w:szCs w:val="20"/>
          <w:lang w:eastAsia="es-ES"/>
        </w:rPr>
        <w:br/>
        <w:t xml:space="preserve">En primer lugar, el promotor debe acreditar que dispone de los terrenos necesarios, mediante acuerdos previos con todos los titulares afectados. Además, si pretende solicitar la </w:t>
      </w:r>
      <w:r w:rsidRPr="000879BB">
        <w:rPr>
          <w:rFonts w:ascii="Arial" w:eastAsia="Times New Roman" w:hAnsi="Arial" w:cs="Arial"/>
          <w:b/>
          <w:bCs/>
          <w:sz w:val="20"/>
          <w:szCs w:val="20"/>
          <w:lang w:eastAsia="es-ES"/>
        </w:rPr>
        <w:t>Declaración de Utilidad Pública</w:t>
      </w:r>
      <w:r w:rsidRPr="000879BB">
        <w:rPr>
          <w:rFonts w:ascii="Arial" w:eastAsia="Times New Roman" w:hAnsi="Arial" w:cs="Arial"/>
          <w:sz w:val="20"/>
          <w:szCs w:val="20"/>
          <w:lang w:eastAsia="es-ES"/>
        </w:rPr>
        <w:t xml:space="preserve">, debe cumplir lo dispuesto en la normativa del sector eléctrico en materia de expropiaciones y servidumbres y, específicamente, en el </w:t>
      </w:r>
      <w:r w:rsidRPr="000879BB">
        <w:rPr>
          <w:rFonts w:ascii="Arial" w:eastAsia="Times New Roman" w:hAnsi="Arial" w:cs="Arial"/>
          <w:b/>
          <w:bCs/>
          <w:sz w:val="20"/>
          <w:szCs w:val="20"/>
          <w:lang w:eastAsia="es-ES"/>
        </w:rPr>
        <w:t>artículo 25 del Decreto 46/2022 de Castilla y León</w:t>
      </w:r>
      <w:r w:rsidRPr="000879BB">
        <w:rPr>
          <w:rFonts w:ascii="Arial" w:eastAsia="Times New Roman" w:hAnsi="Arial" w:cs="Arial"/>
          <w:sz w:val="20"/>
          <w:szCs w:val="20"/>
          <w:lang w:eastAsia="es-ES"/>
        </w:rPr>
        <w:t>, que exige acuerdos previos para al menos el 50 % de las fincas y de la superficie afectada.</w:t>
      </w:r>
      <w:r w:rsidRPr="000879BB">
        <w:rPr>
          <w:rFonts w:ascii="Arial" w:eastAsia="Times New Roman" w:hAnsi="Arial" w:cs="Arial"/>
          <w:sz w:val="20"/>
          <w:szCs w:val="20"/>
          <w:lang w:eastAsia="es-ES"/>
        </w:rPr>
        <w:br/>
        <w:t xml:space="preserve">Por otro lado, la ubicación en suelo rústico obliga a obtener la </w:t>
      </w:r>
      <w:r w:rsidRPr="000879BB">
        <w:rPr>
          <w:rFonts w:ascii="Arial" w:eastAsia="Times New Roman" w:hAnsi="Arial" w:cs="Arial"/>
          <w:b/>
          <w:bCs/>
          <w:sz w:val="20"/>
          <w:szCs w:val="20"/>
          <w:lang w:eastAsia="es-ES"/>
        </w:rPr>
        <w:t>Autorización de Uso Excepcional</w:t>
      </w:r>
      <w:r w:rsidRPr="000879BB">
        <w:rPr>
          <w:rFonts w:ascii="Arial" w:eastAsia="Times New Roman" w:hAnsi="Arial" w:cs="Arial"/>
          <w:sz w:val="20"/>
          <w:szCs w:val="20"/>
          <w:lang w:eastAsia="es-ES"/>
        </w:rPr>
        <w:t xml:space="preserve">, conforme a los artículos 306 y siguientes del </w:t>
      </w:r>
      <w:r w:rsidRPr="000879BB">
        <w:rPr>
          <w:rFonts w:ascii="Arial" w:eastAsia="Times New Roman" w:hAnsi="Arial" w:cs="Arial"/>
          <w:b/>
          <w:bCs/>
          <w:sz w:val="20"/>
          <w:szCs w:val="20"/>
          <w:lang w:eastAsia="es-ES"/>
        </w:rPr>
        <w:t>Reglamento de Urbanismo de Castilla y León (RUCyL)</w:t>
      </w:r>
      <w:r w:rsidRPr="000879BB">
        <w:rPr>
          <w:rFonts w:ascii="Arial" w:eastAsia="Times New Roman" w:hAnsi="Arial" w:cs="Arial"/>
          <w:sz w:val="20"/>
          <w:szCs w:val="20"/>
          <w:lang w:eastAsia="es-ES"/>
        </w:rPr>
        <w:t>.</w:t>
      </w:r>
    </w:p>
    <w:p w14:paraId="569DAC93" w14:textId="449C627D" w:rsidR="00C51570" w:rsidRPr="000879BB" w:rsidRDefault="00C51570" w:rsidP="000879BB">
      <w:pPr>
        <w:spacing w:before="120" w:after="120" w:line="240" w:lineRule="auto"/>
        <w:jc w:val="both"/>
        <w:outlineLvl w:val="2"/>
        <w:rPr>
          <w:rFonts w:ascii="Arial" w:eastAsia="Times New Roman" w:hAnsi="Arial" w:cs="Arial"/>
          <w:sz w:val="20"/>
          <w:szCs w:val="20"/>
          <w:lang w:eastAsia="es-ES"/>
        </w:rPr>
      </w:pPr>
      <w:r w:rsidRPr="000879BB">
        <w:rPr>
          <w:rFonts w:ascii="Arial" w:eastAsia="Times New Roman" w:hAnsi="Arial" w:cs="Arial"/>
          <w:sz w:val="20"/>
          <w:szCs w:val="20"/>
          <w:u w:val="single"/>
          <w:lang w:eastAsia="es-ES"/>
        </w:rPr>
        <w:t>B. Coincidencia con Montes de Utilidad Pública ya protegidos</w:t>
      </w:r>
      <w:r w:rsidR="000879BB">
        <w:rPr>
          <w:rFonts w:ascii="Arial" w:eastAsia="Times New Roman" w:hAnsi="Arial" w:cs="Arial"/>
          <w:sz w:val="20"/>
          <w:szCs w:val="20"/>
          <w:u w:val="single"/>
          <w:lang w:eastAsia="es-ES"/>
        </w:rPr>
        <w:t xml:space="preserve">: </w:t>
      </w:r>
      <w:r w:rsidRPr="000879BB">
        <w:rPr>
          <w:rFonts w:ascii="Arial" w:eastAsia="Times New Roman" w:hAnsi="Arial" w:cs="Arial"/>
          <w:bCs/>
          <w:sz w:val="20"/>
          <w:szCs w:val="20"/>
          <w:lang w:eastAsia="es-ES"/>
        </w:rPr>
        <w:t>El proyecto afecta al Monte de Utilidad Pública del que es titular la Junta Vecinal de Sorbeda del Sil y que ya tienen una afección pública que se ha de respetar y un régimen comunal.</w:t>
      </w:r>
      <w:r w:rsidR="000879BB">
        <w:rPr>
          <w:rFonts w:ascii="Arial" w:eastAsia="Times New Roman" w:hAnsi="Arial" w:cs="Arial"/>
          <w:bCs/>
          <w:sz w:val="20"/>
          <w:szCs w:val="20"/>
          <w:lang w:eastAsia="es-ES"/>
        </w:rPr>
        <w:t xml:space="preserve"> </w:t>
      </w:r>
      <w:r w:rsidRPr="000879BB">
        <w:rPr>
          <w:rFonts w:ascii="Arial" w:eastAsia="Times New Roman" w:hAnsi="Arial" w:cs="Arial"/>
          <w:sz w:val="20"/>
          <w:szCs w:val="20"/>
          <w:lang w:eastAsia="es-ES"/>
        </w:rPr>
        <w:t>Por la tanto, ya existe una declaración de utilidad pública para la conservación de estos montes, por lo que la eventual declaración a favor del proyecto tendría que ponderarse frente a esa protección preexistente.</w:t>
      </w:r>
    </w:p>
    <w:p w14:paraId="7EAEF348" w14:textId="4886D3A9" w:rsidR="00C51570" w:rsidRPr="000879BB" w:rsidRDefault="00C51570" w:rsidP="000879BB">
      <w:pPr>
        <w:spacing w:before="120" w:after="120" w:line="240" w:lineRule="auto"/>
        <w:jc w:val="both"/>
        <w:outlineLvl w:val="2"/>
        <w:rPr>
          <w:rFonts w:ascii="Arial" w:eastAsia="Times New Roman" w:hAnsi="Arial" w:cs="Arial"/>
          <w:sz w:val="20"/>
          <w:szCs w:val="20"/>
          <w:lang w:eastAsia="es-ES"/>
        </w:rPr>
      </w:pPr>
      <w:r w:rsidRPr="000879BB">
        <w:rPr>
          <w:rFonts w:ascii="Arial" w:eastAsia="Times New Roman" w:hAnsi="Arial" w:cs="Arial"/>
          <w:sz w:val="20"/>
          <w:szCs w:val="20"/>
          <w:u w:val="single"/>
          <w:lang w:eastAsia="es-ES"/>
        </w:rPr>
        <w:t>C. El interés general no se presume: debe justificarse y superar el juicio de proporcionalidad</w:t>
      </w:r>
      <w:r w:rsidR="000879BB">
        <w:rPr>
          <w:rFonts w:ascii="Arial" w:eastAsia="Times New Roman" w:hAnsi="Arial" w:cs="Arial"/>
          <w:sz w:val="20"/>
          <w:szCs w:val="20"/>
          <w:u w:val="single"/>
          <w:lang w:eastAsia="es-ES"/>
        </w:rPr>
        <w:t xml:space="preserve">: </w:t>
      </w:r>
      <w:r w:rsidRPr="000879BB">
        <w:rPr>
          <w:rFonts w:ascii="Arial" w:eastAsia="Times New Roman" w:hAnsi="Arial" w:cs="Arial"/>
          <w:sz w:val="20"/>
          <w:szCs w:val="20"/>
          <w:lang w:eastAsia="es-ES"/>
        </w:rPr>
        <w:t xml:space="preserve">El </w:t>
      </w:r>
      <w:r w:rsidRPr="000879BB">
        <w:rPr>
          <w:rFonts w:ascii="Arial" w:eastAsia="Times New Roman" w:hAnsi="Arial" w:cs="Arial"/>
          <w:b/>
          <w:bCs/>
          <w:sz w:val="20"/>
          <w:szCs w:val="20"/>
          <w:lang w:eastAsia="es-ES"/>
        </w:rPr>
        <w:t>artículo 103 de la Constitución Española</w:t>
      </w:r>
      <w:r w:rsidRPr="000879BB">
        <w:rPr>
          <w:rFonts w:ascii="Arial" w:eastAsia="Times New Roman" w:hAnsi="Arial" w:cs="Arial"/>
          <w:sz w:val="20"/>
          <w:szCs w:val="20"/>
          <w:lang w:eastAsia="es-ES"/>
        </w:rPr>
        <w:t xml:space="preserve"> establece que la Administración Pública debe servir a los intereses generales con objetividad, eficacia y sometimiento pleno a la ley y al Derecho.</w:t>
      </w:r>
      <w:r w:rsidRPr="000879BB">
        <w:rPr>
          <w:rFonts w:ascii="Arial" w:eastAsia="Times New Roman" w:hAnsi="Arial" w:cs="Arial"/>
          <w:sz w:val="20"/>
          <w:szCs w:val="20"/>
          <w:lang w:eastAsia="es-ES"/>
        </w:rPr>
        <w:tab/>
      </w:r>
      <w:r w:rsidRPr="000879BB">
        <w:rPr>
          <w:rFonts w:ascii="Arial" w:eastAsia="Times New Roman" w:hAnsi="Arial" w:cs="Arial"/>
          <w:sz w:val="20"/>
          <w:szCs w:val="20"/>
          <w:lang w:eastAsia="es-ES"/>
        </w:rPr>
        <w:br/>
        <w:t xml:space="preserve">La </w:t>
      </w:r>
      <w:r w:rsidRPr="000879BB">
        <w:rPr>
          <w:rFonts w:ascii="Arial" w:eastAsia="Times New Roman" w:hAnsi="Arial" w:cs="Arial"/>
          <w:b/>
          <w:bCs/>
          <w:sz w:val="20"/>
          <w:szCs w:val="20"/>
          <w:lang w:eastAsia="es-ES"/>
        </w:rPr>
        <w:t>Sentencia del Tribunal Constitucional 14/2003</w:t>
      </w:r>
      <w:r w:rsidRPr="000879BB">
        <w:rPr>
          <w:rFonts w:ascii="Arial" w:eastAsia="Times New Roman" w:hAnsi="Arial" w:cs="Arial"/>
          <w:sz w:val="20"/>
          <w:szCs w:val="20"/>
          <w:lang w:eastAsia="es-ES"/>
        </w:rPr>
        <w:t xml:space="preserve"> (entre otras) exige que cualquier medida que limite derechos —o que suponga una restricción relevante sobre bienes protegidos— satisfaga el </w:t>
      </w:r>
      <w:r w:rsidRPr="000879BB">
        <w:rPr>
          <w:rFonts w:ascii="Arial" w:eastAsia="Times New Roman" w:hAnsi="Arial" w:cs="Arial"/>
          <w:b/>
          <w:bCs/>
          <w:sz w:val="20"/>
          <w:szCs w:val="20"/>
          <w:lang w:eastAsia="es-ES"/>
        </w:rPr>
        <w:t>juicio de proporcionalidad</w:t>
      </w:r>
      <w:r w:rsidRPr="000879BB">
        <w:rPr>
          <w:rFonts w:ascii="Arial" w:eastAsia="Times New Roman" w:hAnsi="Arial" w:cs="Arial"/>
          <w:sz w:val="20"/>
          <w:szCs w:val="20"/>
          <w:lang w:eastAsia="es-ES"/>
        </w:rPr>
        <w:t>, compuesto por tres requisitos:</w:t>
      </w:r>
      <w:r w:rsidR="000879BB">
        <w:rPr>
          <w:rFonts w:ascii="Arial" w:eastAsia="Times New Roman" w:hAnsi="Arial" w:cs="Arial"/>
          <w:sz w:val="20"/>
          <w:szCs w:val="20"/>
          <w:lang w:eastAsia="es-ES"/>
        </w:rPr>
        <w:t xml:space="preserve"> </w:t>
      </w:r>
      <w:r w:rsidRPr="000879BB">
        <w:rPr>
          <w:rFonts w:ascii="Arial" w:eastAsia="Times New Roman" w:hAnsi="Arial" w:cs="Arial"/>
          <w:b/>
          <w:bCs/>
          <w:sz w:val="20"/>
          <w:szCs w:val="20"/>
          <w:lang w:eastAsia="es-ES"/>
        </w:rPr>
        <w:t>Idoneidad</w:t>
      </w:r>
      <w:r w:rsidRPr="000879BB">
        <w:rPr>
          <w:rFonts w:ascii="Arial" w:eastAsia="Times New Roman" w:hAnsi="Arial" w:cs="Arial"/>
          <w:sz w:val="20"/>
          <w:szCs w:val="20"/>
          <w:lang w:eastAsia="es-ES"/>
        </w:rPr>
        <w:t>: la medida debe ser capaz de alcanzar una verdadera utilidad pública.</w:t>
      </w:r>
      <w:r w:rsidR="000879BB">
        <w:rPr>
          <w:rFonts w:ascii="Arial" w:eastAsia="Times New Roman" w:hAnsi="Arial" w:cs="Arial"/>
          <w:sz w:val="20"/>
          <w:szCs w:val="20"/>
          <w:lang w:eastAsia="es-ES"/>
        </w:rPr>
        <w:t xml:space="preserve"> </w:t>
      </w:r>
      <w:r w:rsidRPr="000879BB">
        <w:rPr>
          <w:rFonts w:ascii="Arial" w:eastAsia="Times New Roman" w:hAnsi="Arial" w:cs="Arial"/>
          <w:b/>
          <w:bCs/>
          <w:sz w:val="20"/>
          <w:szCs w:val="20"/>
          <w:lang w:eastAsia="es-ES"/>
        </w:rPr>
        <w:t>Necesidad</w:t>
      </w:r>
      <w:r w:rsidRPr="000879BB">
        <w:rPr>
          <w:rFonts w:ascii="Arial" w:eastAsia="Times New Roman" w:hAnsi="Arial" w:cs="Arial"/>
          <w:sz w:val="20"/>
          <w:szCs w:val="20"/>
          <w:lang w:eastAsia="es-ES"/>
        </w:rPr>
        <w:t>: no debe existir otra medida menos restrictiva para alcanzar ese objetivo.</w:t>
      </w:r>
      <w:r w:rsidR="000879BB">
        <w:rPr>
          <w:rFonts w:ascii="Arial" w:eastAsia="Times New Roman" w:hAnsi="Arial" w:cs="Arial"/>
          <w:sz w:val="20"/>
          <w:szCs w:val="20"/>
          <w:lang w:eastAsia="es-ES"/>
        </w:rPr>
        <w:t xml:space="preserve"> </w:t>
      </w:r>
      <w:r w:rsidRPr="000879BB">
        <w:rPr>
          <w:rFonts w:ascii="Arial" w:eastAsia="Times New Roman" w:hAnsi="Arial" w:cs="Arial"/>
          <w:b/>
          <w:bCs/>
          <w:sz w:val="20"/>
          <w:szCs w:val="20"/>
          <w:lang w:eastAsia="es-ES"/>
        </w:rPr>
        <w:t>Ponderación</w:t>
      </w:r>
      <w:r w:rsidRPr="000879BB">
        <w:rPr>
          <w:rFonts w:ascii="Arial" w:eastAsia="Times New Roman" w:hAnsi="Arial" w:cs="Arial"/>
          <w:sz w:val="20"/>
          <w:szCs w:val="20"/>
          <w:lang w:eastAsia="es-ES"/>
        </w:rPr>
        <w:t>: los beneficios para el interés general deben superar claramente los perjuicios que cause.</w:t>
      </w:r>
    </w:p>
    <w:p w14:paraId="18B80705" w14:textId="77777777" w:rsidR="00C51570" w:rsidRPr="000879BB" w:rsidRDefault="00C51570" w:rsidP="000879BB">
      <w:pPr>
        <w:spacing w:before="120" w:after="120" w:line="240" w:lineRule="auto"/>
        <w:jc w:val="both"/>
        <w:rPr>
          <w:rFonts w:ascii="Arial" w:eastAsia="Times New Roman" w:hAnsi="Arial" w:cs="Arial"/>
          <w:sz w:val="20"/>
          <w:szCs w:val="20"/>
          <w:lang w:eastAsia="es-ES"/>
        </w:rPr>
      </w:pPr>
      <w:r w:rsidRPr="000879BB">
        <w:rPr>
          <w:rFonts w:ascii="Arial" w:eastAsia="Times New Roman" w:hAnsi="Arial" w:cs="Arial"/>
          <w:sz w:val="20"/>
          <w:szCs w:val="20"/>
          <w:lang w:eastAsia="es-ES"/>
        </w:rPr>
        <w:t xml:space="preserve">Esta obligación rige también cuando el conflicto no es entre interés público e interés individual, sino entre </w:t>
      </w:r>
      <w:r w:rsidRPr="000879BB">
        <w:rPr>
          <w:rFonts w:ascii="Arial" w:eastAsia="Times New Roman" w:hAnsi="Arial" w:cs="Arial"/>
          <w:b/>
          <w:bCs/>
          <w:sz w:val="20"/>
          <w:szCs w:val="20"/>
          <w:lang w:eastAsia="es-ES"/>
        </w:rPr>
        <w:t>intereses públicos diferentes</w:t>
      </w:r>
      <w:r w:rsidRPr="000879BB">
        <w:rPr>
          <w:rFonts w:ascii="Arial" w:eastAsia="Times New Roman" w:hAnsi="Arial" w:cs="Arial"/>
          <w:sz w:val="20"/>
          <w:szCs w:val="20"/>
          <w:lang w:eastAsia="es-ES"/>
        </w:rPr>
        <w:t>, como ocurre aquí: la utilidad pública del proyecto frente a la utilidad pública ya reconocida de los montes.</w:t>
      </w:r>
    </w:p>
    <w:p w14:paraId="102D28B6" w14:textId="262DB1F7" w:rsidR="00C51570" w:rsidRPr="00D17E23" w:rsidRDefault="00C51570" w:rsidP="000879BB">
      <w:pPr>
        <w:spacing w:before="120" w:after="120" w:line="240" w:lineRule="auto"/>
        <w:jc w:val="both"/>
        <w:rPr>
          <w:rFonts w:ascii="Arial" w:hAnsi="Arial" w:cs="Arial"/>
          <w:b/>
          <w:bCs/>
          <w:sz w:val="20"/>
          <w:szCs w:val="20"/>
        </w:rPr>
      </w:pPr>
      <w:r w:rsidRPr="000879BB">
        <w:rPr>
          <w:rFonts w:ascii="Arial" w:eastAsia="Times New Roman" w:hAnsi="Arial" w:cs="Arial"/>
          <w:sz w:val="20"/>
          <w:szCs w:val="20"/>
          <w:lang w:eastAsia="es-ES"/>
        </w:rPr>
        <w:t xml:space="preserve">La declaración de utilidad pública impactaría sobre terrenos comunales pertenecientes a la </w:t>
      </w:r>
      <w:r w:rsidRPr="000879BB">
        <w:rPr>
          <w:rFonts w:ascii="Arial" w:eastAsia="Times New Roman" w:hAnsi="Arial" w:cs="Arial"/>
          <w:b/>
          <w:bCs/>
          <w:sz w:val="20"/>
          <w:szCs w:val="20"/>
          <w:lang w:eastAsia="es-ES"/>
        </w:rPr>
        <w:t>Junta Vecinal de Sorbeda del Sil</w:t>
      </w:r>
      <w:r w:rsidRPr="000879BB">
        <w:rPr>
          <w:rFonts w:ascii="Arial" w:eastAsia="Times New Roman" w:hAnsi="Arial" w:cs="Arial"/>
          <w:sz w:val="20"/>
          <w:szCs w:val="20"/>
          <w:lang w:eastAsia="es-ES"/>
        </w:rPr>
        <w:t>.</w:t>
      </w:r>
      <w:r w:rsidR="00D17E23">
        <w:rPr>
          <w:rFonts w:ascii="Arial" w:eastAsia="Times New Roman" w:hAnsi="Arial" w:cs="Arial"/>
          <w:sz w:val="20"/>
          <w:szCs w:val="20"/>
          <w:lang w:eastAsia="es-ES"/>
        </w:rPr>
        <w:t xml:space="preserve"> </w:t>
      </w:r>
      <w:r w:rsidRPr="000879BB">
        <w:rPr>
          <w:rFonts w:ascii="Arial" w:eastAsia="Times New Roman" w:hAnsi="Arial" w:cs="Arial"/>
          <w:sz w:val="20"/>
          <w:szCs w:val="20"/>
          <w:lang w:eastAsia="es-ES"/>
        </w:rPr>
        <w:t xml:space="preserve">No se han cumplido las exigencias del </w:t>
      </w:r>
      <w:r w:rsidRPr="000879BB">
        <w:rPr>
          <w:rFonts w:ascii="Arial" w:eastAsia="Times New Roman" w:hAnsi="Arial" w:cs="Arial"/>
          <w:b/>
          <w:bCs/>
          <w:sz w:val="20"/>
          <w:szCs w:val="20"/>
          <w:lang w:eastAsia="es-ES"/>
        </w:rPr>
        <w:t>artículo 132 CE</w:t>
      </w:r>
      <w:r w:rsidRPr="000879BB">
        <w:rPr>
          <w:rFonts w:ascii="Arial" w:eastAsia="Times New Roman" w:hAnsi="Arial" w:cs="Arial"/>
          <w:sz w:val="20"/>
          <w:szCs w:val="20"/>
          <w:lang w:eastAsia="es-ES"/>
        </w:rPr>
        <w:t xml:space="preserve">, de la </w:t>
      </w:r>
      <w:r w:rsidRPr="000879BB">
        <w:rPr>
          <w:rFonts w:ascii="Arial" w:eastAsia="Times New Roman" w:hAnsi="Arial" w:cs="Arial"/>
          <w:b/>
          <w:bCs/>
          <w:sz w:val="20"/>
          <w:szCs w:val="20"/>
          <w:lang w:eastAsia="es-ES"/>
        </w:rPr>
        <w:t>Ley de Bases del Régimen Local</w:t>
      </w:r>
      <w:r w:rsidRPr="000879BB">
        <w:rPr>
          <w:rFonts w:ascii="Arial" w:eastAsia="Times New Roman" w:hAnsi="Arial" w:cs="Arial"/>
          <w:sz w:val="20"/>
          <w:szCs w:val="20"/>
          <w:lang w:eastAsia="es-ES"/>
        </w:rPr>
        <w:t xml:space="preserve"> ni del </w:t>
      </w:r>
      <w:r w:rsidRPr="000879BB">
        <w:rPr>
          <w:rFonts w:ascii="Arial" w:eastAsia="Times New Roman" w:hAnsi="Arial" w:cs="Arial"/>
          <w:b/>
          <w:bCs/>
          <w:sz w:val="20"/>
          <w:szCs w:val="20"/>
          <w:lang w:eastAsia="es-ES"/>
        </w:rPr>
        <w:t>Reglamento de Bienes de las Entidades Locales</w:t>
      </w:r>
      <w:r w:rsidRPr="000879BB">
        <w:rPr>
          <w:rFonts w:ascii="Arial" w:eastAsia="Times New Roman" w:hAnsi="Arial" w:cs="Arial"/>
          <w:sz w:val="20"/>
          <w:szCs w:val="20"/>
          <w:lang w:eastAsia="es-ES"/>
        </w:rPr>
        <w:t>:</w:t>
      </w:r>
      <w:r w:rsidR="000879BB">
        <w:rPr>
          <w:rFonts w:ascii="Arial" w:eastAsia="Times New Roman" w:hAnsi="Arial" w:cs="Arial"/>
          <w:sz w:val="20"/>
          <w:szCs w:val="20"/>
          <w:lang w:eastAsia="es-ES"/>
        </w:rPr>
        <w:t xml:space="preserve"> - </w:t>
      </w:r>
      <w:r w:rsidRPr="000879BB">
        <w:rPr>
          <w:rFonts w:ascii="Arial" w:eastAsia="Times New Roman" w:hAnsi="Arial" w:cs="Arial"/>
          <w:sz w:val="20"/>
          <w:szCs w:val="20"/>
          <w:lang w:eastAsia="es-ES"/>
        </w:rPr>
        <w:t>No existe acuerdo adoptado en concejo vecinal.</w:t>
      </w:r>
      <w:r w:rsidR="000879BB">
        <w:rPr>
          <w:rFonts w:ascii="Arial" w:eastAsia="Times New Roman" w:hAnsi="Arial" w:cs="Arial"/>
          <w:sz w:val="20"/>
          <w:szCs w:val="20"/>
          <w:lang w:eastAsia="es-ES"/>
        </w:rPr>
        <w:t xml:space="preserve"> - </w:t>
      </w:r>
      <w:r w:rsidRPr="000879BB">
        <w:rPr>
          <w:rFonts w:ascii="Arial" w:eastAsia="Times New Roman" w:hAnsi="Arial" w:cs="Arial"/>
          <w:sz w:val="20"/>
          <w:szCs w:val="20"/>
          <w:lang w:eastAsia="es-ES"/>
        </w:rPr>
        <w:t>No se ha respetado la inalienabilidad e imprescriptibilidad de estos bienes.</w:t>
      </w:r>
      <w:r w:rsidR="000879BB">
        <w:rPr>
          <w:rFonts w:ascii="Arial" w:eastAsia="Times New Roman" w:hAnsi="Arial" w:cs="Arial"/>
          <w:sz w:val="20"/>
          <w:szCs w:val="20"/>
          <w:lang w:eastAsia="es-ES"/>
        </w:rPr>
        <w:t xml:space="preserve"> - </w:t>
      </w:r>
      <w:r w:rsidRPr="000879BB">
        <w:rPr>
          <w:rFonts w:ascii="Arial" w:eastAsia="Times New Roman" w:hAnsi="Arial" w:cs="Arial"/>
          <w:sz w:val="20"/>
          <w:szCs w:val="20"/>
          <w:lang w:eastAsia="es-ES"/>
        </w:rPr>
        <w:t>No se han cumplido las garantías jurisprudenciales sobre su acotado y gestión.</w:t>
      </w:r>
      <w:r w:rsidR="00D17E23">
        <w:rPr>
          <w:rFonts w:ascii="Arial" w:eastAsia="Times New Roman" w:hAnsi="Arial" w:cs="Arial"/>
          <w:sz w:val="20"/>
          <w:szCs w:val="20"/>
          <w:lang w:eastAsia="es-ES"/>
        </w:rPr>
        <w:t xml:space="preserve"> </w:t>
      </w:r>
      <w:r w:rsidRPr="000879BB">
        <w:rPr>
          <w:rFonts w:ascii="Arial" w:eastAsia="Times New Roman" w:hAnsi="Arial" w:cs="Arial"/>
          <w:sz w:val="20"/>
          <w:szCs w:val="20"/>
          <w:lang w:eastAsia="es-ES"/>
        </w:rPr>
        <w:t xml:space="preserve">En definitiva, </w:t>
      </w:r>
      <w:r w:rsidRPr="00D17E23">
        <w:rPr>
          <w:rFonts w:ascii="Arial" w:eastAsia="Times New Roman" w:hAnsi="Arial" w:cs="Arial"/>
          <w:b/>
          <w:bCs/>
          <w:sz w:val="20"/>
          <w:szCs w:val="20"/>
          <w:lang w:eastAsia="es-ES"/>
        </w:rPr>
        <w:t>no concurren las condiciones legales ni técnicas para legitimar la ocupación de montes y bienes comunales, por lo que la actuación sería contraria al ordenamiento jurídico y debe ser denegada.</w:t>
      </w:r>
    </w:p>
    <w:p w14:paraId="163A0E25" w14:textId="723D6748" w:rsidR="00623797" w:rsidRPr="000879BB" w:rsidRDefault="00623797" w:rsidP="000879BB">
      <w:pPr>
        <w:spacing w:before="120" w:after="120" w:line="240" w:lineRule="auto"/>
        <w:jc w:val="both"/>
        <w:rPr>
          <w:rFonts w:ascii="Arial" w:hAnsi="Arial" w:cs="Arial"/>
          <w:sz w:val="20"/>
          <w:szCs w:val="20"/>
        </w:rPr>
      </w:pPr>
      <w:r w:rsidRPr="000879BB">
        <w:rPr>
          <w:rFonts w:ascii="Arial" w:hAnsi="Arial" w:cs="Arial"/>
          <w:b/>
          <w:sz w:val="20"/>
          <w:szCs w:val="20"/>
        </w:rPr>
        <w:t>OTROSÍ SOLICITA:</w:t>
      </w:r>
    </w:p>
    <w:p w14:paraId="4C3D67A6" w14:textId="77777777" w:rsidR="00623797" w:rsidRPr="000879BB" w:rsidRDefault="00623797" w:rsidP="000879BB">
      <w:pPr>
        <w:pStyle w:val="NormalWeb"/>
        <w:spacing w:before="120" w:beforeAutospacing="0" w:after="120" w:afterAutospacing="0"/>
        <w:jc w:val="both"/>
        <w:rPr>
          <w:rFonts w:ascii="Arial" w:hAnsi="Arial" w:cs="Arial"/>
          <w:sz w:val="20"/>
          <w:szCs w:val="20"/>
        </w:rPr>
      </w:pPr>
      <w:r w:rsidRPr="000879BB">
        <w:rPr>
          <w:rFonts w:ascii="Arial" w:hAnsi="Arial" w:cs="Arial"/>
          <w:sz w:val="20"/>
          <w:szCs w:val="20"/>
        </w:rPr>
        <w:t xml:space="preserve">Primero.- Se exige la </w:t>
      </w:r>
      <w:r w:rsidRPr="000879BB">
        <w:rPr>
          <w:rFonts w:ascii="Arial" w:hAnsi="Arial" w:cs="Arial"/>
          <w:b/>
          <w:bCs/>
          <w:sz w:val="20"/>
          <w:szCs w:val="20"/>
        </w:rPr>
        <w:t>nulidad de la tramitación</w:t>
      </w:r>
      <w:r w:rsidRPr="000879BB">
        <w:rPr>
          <w:rFonts w:ascii="Arial" w:hAnsi="Arial" w:cs="Arial"/>
          <w:sz w:val="20"/>
          <w:szCs w:val="20"/>
        </w:rPr>
        <w:t xml:space="preserve"> de la Autorización Administrativa hasta que se aporte y evalúe un </w:t>
      </w:r>
      <w:r w:rsidRPr="000879BB">
        <w:rPr>
          <w:rFonts w:ascii="Arial" w:hAnsi="Arial" w:cs="Arial"/>
          <w:b/>
          <w:bCs/>
          <w:sz w:val="20"/>
          <w:szCs w:val="20"/>
        </w:rPr>
        <w:t>Informe Preliminar de Situación (IPS)</w:t>
      </w:r>
      <w:r w:rsidRPr="000879BB">
        <w:rPr>
          <w:rFonts w:ascii="Arial" w:hAnsi="Arial" w:cs="Arial"/>
          <w:sz w:val="20"/>
          <w:szCs w:val="20"/>
        </w:rPr>
        <w:t xml:space="preserve"> y, en su caso, la caracterización del suelo por la afección de la actividad minera previa, así como el análisis de riesgos de la nueva actividad BESS.</w:t>
      </w:r>
    </w:p>
    <w:p w14:paraId="4D33F62A" w14:textId="5D777502" w:rsidR="00D17E23" w:rsidRDefault="00623797" w:rsidP="000879BB">
      <w:pPr>
        <w:spacing w:before="120" w:after="120" w:line="240" w:lineRule="auto"/>
        <w:jc w:val="both"/>
        <w:rPr>
          <w:rFonts w:ascii="Arial" w:hAnsi="Arial" w:cs="Arial"/>
          <w:sz w:val="20"/>
          <w:szCs w:val="20"/>
        </w:rPr>
      </w:pPr>
      <w:r w:rsidRPr="000879BB">
        <w:rPr>
          <w:rFonts w:ascii="Arial" w:hAnsi="Arial" w:cs="Arial"/>
          <w:sz w:val="20"/>
          <w:szCs w:val="20"/>
        </w:rPr>
        <w:t xml:space="preserve">Segundo.- La </w:t>
      </w:r>
      <w:r w:rsidRPr="000879BB">
        <w:rPr>
          <w:rFonts w:ascii="Arial" w:hAnsi="Arial" w:cs="Arial"/>
          <w:b/>
          <w:sz w:val="20"/>
          <w:szCs w:val="20"/>
        </w:rPr>
        <w:t>denegación de la Autorización Administrativa</w:t>
      </w:r>
      <w:r w:rsidRPr="000879BB">
        <w:rPr>
          <w:rFonts w:ascii="Arial" w:hAnsi="Arial" w:cs="Arial"/>
          <w:sz w:val="20"/>
          <w:szCs w:val="20"/>
        </w:rPr>
        <w:t xml:space="preserve"> al presente proyecto denominado “BESS Peñadrada”, estimando que no concurren las condiciones legales ni técnicas para legitimar la ocupación de montes y bienes comunales, y un uso prohibido en dicho suelo con especial protección natural y cultural, por lo que la actuación sería contraria al ordenamiento jurídico. </w:t>
      </w:r>
    </w:p>
    <w:p w14:paraId="6872E8E3" w14:textId="0AC8E047" w:rsidR="00D17E23" w:rsidRPr="00D17E23" w:rsidRDefault="00D17E23" w:rsidP="00D17E23">
      <w:pPr>
        <w:spacing w:before="120" w:after="120"/>
        <w:jc w:val="both"/>
        <w:rPr>
          <w:b/>
          <w:i/>
          <w:sz w:val="21"/>
          <w:szCs w:val="21"/>
          <w:u w:val="single"/>
        </w:rPr>
      </w:pPr>
      <w:r w:rsidRPr="00A01AB5">
        <w:rPr>
          <w:sz w:val="21"/>
          <w:szCs w:val="21"/>
        </w:rPr>
        <w:t>En _____________________________</w:t>
      </w:r>
      <w:r>
        <w:rPr>
          <w:sz w:val="21"/>
          <w:szCs w:val="21"/>
        </w:rPr>
        <w:t>____</w:t>
      </w:r>
      <w:r w:rsidRPr="00A01AB5">
        <w:rPr>
          <w:sz w:val="21"/>
          <w:szCs w:val="21"/>
        </w:rPr>
        <w:t>, a ____ de ______________</w:t>
      </w:r>
      <w:r>
        <w:rPr>
          <w:sz w:val="21"/>
          <w:szCs w:val="21"/>
        </w:rPr>
        <w:t>__</w:t>
      </w:r>
      <w:r w:rsidRPr="00A01AB5">
        <w:rPr>
          <w:sz w:val="21"/>
          <w:szCs w:val="21"/>
        </w:rPr>
        <w:t xml:space="preserve">_ de 2025                           </w:t>
      </w:r>
      <w:r w:rsidRPr="00A01AB5">
        <w:rPr>
          <w:b/>
          <w:i/>
          <w:sz w:val="21"/>
          <w:szCs w:val="21"/>
          <w:u w:val="single"/>
        </w:rPr>
        <w:t>Firma</w:t>
      </w:r>
      <w:r>
        <w:rPr>
          <w:b/>
          <w:i/>
          <w:sz w:val="21"/>
          <w:szCs w:val="21"/>
          <w:u w:val="single"/>
        </w:rPr>
        <w:t>:</w:t>
      </w:r>
    </w:p>
    <w:p w14:paraId="705A1272" w14:textId="77777777" w:rsidR="00D17E23" w:rsidRPr="00D17E23" w:rsidRDefault="00D17E23" w:rsidP="000879BB">
      <w:pPr>
        <w:spacing w:before="120" w:after="120" w:line="240" w:lineRule="auto"/>
        <w:jc w:val="both"/>
        <w:rPr>
          <w:rFonts w:ascii="Arial" w:hAnsi="Arial" w:cs="Arial"/>
          <w:sz w:val="20"/>
          <w:szCs w:val="20"/>
        </w:rPr>
      </w:pPr>
    </w:p>
    <w:sectPr w:rsidR="00D17E23" w:rsidRPr="00D17E23" w:rsidSect="000879BB">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ource Sans Pro">
    <w:altName w:val="DejaVu Sans"/>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1C1D49AA"/>
    <w:multiLevelType w:val="multilevel"/>
    <w:tmpl w:val="7722C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911898"/>
    <w:multiLevelType w:val="multilevel"/>
    <w:tmpl w:val="5FF6C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9C2AFF"/>
    <w:multiLevelType w:val="hybridMultilevel"/>
    <w:tmpl w:val="C708016A"/>
    <w:lvl w:ilvl="0" w:tplc="C9D0CA0C">
      <w:start w:val="1"/>
      <w:numFmt w:val="upperRoman"/>
      <w:lvlText w:val="%1-"/>
      <w:lvlJc w:val="left"/>
      <w:pPr>
        <w:ind w:left="1080" w:hanging="720"/>
      </w:pPr>
      <w:rPr>
        <w:rFonts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4DDD5DB9"/>
    <w:multiLevelType w:val="multilevel"/>
    <w:tmpl w:val="93943682"/>
    <w:lvl w:ilvl="0">
      <w:start w:val="1"/>
      <w:numFmt w:val="bullet"/>
      <w:lvlText w:val=""/>
      <w:lvlJc w:val="left"/>
      <w:pPr>
        <w:tabs>
          <w:tab w:val="num" w:pos="720"/>
        </w:tabs>
        <w:ind w:left="720" w:hanging="360"/>
      </w:pPr>
      <w:rPr>
        <w:rFonts w:ascii="Symbol" w:hAnsi="Symbol" w:hint="default"/>
        <w:sz w:val="20"/>
      </w:rPr>
    </w:lvl>
    <w:lvl w:ilvl="1">
      <w:start w:val="14"/>
      <w:numFmt w:val="bullet"/>
      <w:lvlText w:val="-"/>
      <w:lvlJc w:val="left"/>
      <w:pPr>
        <w:ind w:left="1440" w:hanging="360"/>
      </w:pPr>
      <w:rPr>
        <w:rFonts w:ascii="Arial" w:eastAsia="Source Sans Pro"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B548FA"/>
    <w:multiLevelType w:val="multilevel"/>
    <w:tmpl w:val="D3726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BE7D44"/>
    <w:multiLevelType w:val="multilevel"/>
    <w:tmpl w:val="090C85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04694239">
    <w:abstractNumId w:val="8"/>
  </w:num>
  <w:num w:numId="2" w16cid:durableId="1454321427">
    <w:abstractNumId w:val="6"/>
  </w:num>
  <w:num w:numId="3" w16cid:durableId="814493047">
    <w:abstractNumId w:val="5"/>
  </w:num>
  <w:num w:numId="4" w16cid:durableId="514266229">
    <w:abstractNumId w:val="4"/>
  </w:num>
  <w:num w:numId="5" w16cid:durableId="1769621546">
    <w:abstractNumId w:val="7"/>
  </w:num>
  <w:num w:numId="6" w16cid:durableId="588004056">
    <w:abstractNumId w:val="3"/>
  </w:num>
  <w:num w:numId="7" w16cid:durableId="1495729993">
    <w:abstractNumId w:val="2"/>
  </w:num>
  <w:num w:numId="8" w16cid:durableId="1474643702">
    <w:abstractNumId w:val="1"/>
  </w:num>
  <w:num w:numId="9" w16cid:durableId="731078915">
    <w:abstractNumId w:val="0"/>
  </w:num>
  <w:num w:numId="10" w16cid:durableId="1438713208">
    <w:abstractNumId w:val="11"/>
  </w:num>
  <w:num w:numId="11" w16cid:durableId="1248885115">
    <w:abstractNumId w:val="14"/>
  </w:num>
  <w:num w:numId="12" w16cid:durableId="577135107">
    <w:abstractNumId w:val="9"/>
  </w:num>
  <w:num w:numId="13" w16cid:durableId="612251785">
    <w:abstractNumId w:val="12"/>
  </w:num>
  <w:num w:numId="14" w16cid:durableId="1713649337">
    <w:abstractNumId w:val="10"/>
  </w:num>
  <w:num w:numId="15" w16cid:durableId="190992286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52E9"/>
    <w:rsid w:val="0006063C"/>
    <w:rsid w:val="000879BB"/>
    <w:rsid w:val="0014583A"/>
    <w:rsid w:val="0015074B"/>
    <w:rsid w:val="00165A75"/>
    <w:rsid w:val="00286C11"/>
    <w:rsid w:val="00293595"/>
    <w:rsid w:val="0029639D"/>
    <w:rsid w:val="002B380B"/>
    <w:rsid w:val="00326F90"/>
    <w:rsid w:val="00444CDA"/>
    <w:rsid w:val="004562B5"/>
    <w:rsid w:val="005062A8"/>
    <w:rsid w:val="0051362F"/>
    <w:rsid w:val="005A0E62"/>
    <w:rsid w:val="00623797"/>
    <w:rsid w:val="006D0B77"/>
    <w:rsid w:val="008252A4"/>
    <w:rsid w:val="00A4125E"/>
    <w:rsid w:val="00A667CF"/>
    <w:rsid w:val="00A90734"/>
    <w:rsid w:val="00AA1D8D"/>
    <w:rsid w:val="00AD164D"/>
    <w:rsid w:val="00B47730"/>
    <w:rsid w:val="00B939CC"/>
    <w:rsid w:val="00BC60D9"/>
    <w:rsid w:val="00C51570"/>
    <w:rsid w:val="00CB0664"/>
    <w:rsid w:val="00D00331"/>
    <w:rsid w:val="00D11A06"/>
    <w:rsid w:val="00D17E23"/>
    <w:rsid w:val="00D8231C"/>
    <w:rsid w:val="00EC2843"/>
    <w:rsid w:val="00F91C4B"/>
    <w:rsid w:val="00FB6A82"/>
    <w:rsid w:val="00FC37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D5E89A"/>
  <w14:defaultImageDpi w14:val="300"/>
  <w15:docId w15:val="{97778928-3685-4549-9EB4-F10223ACE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165A7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C5157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1426</Words>
  <Characters>7843</Characters>
  <Application>Microsoft Office Word</Application>
  <DocSecurity>0</DocSecurity>
  <Lines>65</Lines>
  <Paragraphs>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9251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ELENA DE LA PUENTE FRA</cp:lastModifiedBy>
  <cp:revision>22</cp:revision>
  <dcterms:created xsi:type="dcterms:W3CDTF">2025-12-01T09:29:00Z</dcterms:created>
  <dcterms:modified xsi:type="dcterms:W3CDTF">2025-12-10T16:15:00Z</dcterms:modified>
  <cp:category/>
</cp:coreProperties>
</file>